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AEM</w:t>
      </w:r>
      <w:r>
        <w:rPr>
          <w:rFonts w:ascii="Calibri" w:hAnsi="Calibri"/>
          <w:b/>
          <w:color w:val="1A2010"/>
          <w:sz w:val="40"/>
        </w:rPr>
        <w:t xml:space="preserve">  Agnico Eagle Mines Limited</w:t>
      </w:r>
    </w:p>
    <w:p>
      <w:pPr>
        <w:spacing w:after="120"/>
      </w:pPr>
      <w:r>
        <w:rPr>
          <w:rFonts w:ascii="Calibri" w:hAnsi="Calibri"/>
          <w:b/>
          <w:color w:val="6E8450"/>
          <w:sz w:val="18"/>
        </w:rPr>
        <w:t>GROWTH SLEEVE · 2026-08-27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Gold Mining · NYSE · Canada</w:t>
      </w:r>
    </w:p>
    <w:p>
      <w:pPr>
        <w:spacing w:after="80"/>
      </w:pPr>
      <w:r>
        <w:rPr>
          <w:rFonts w:ascii="Calibri" w:hAnsi="Calibri"/>
          <w:b w:val="0"/>
          <w:color w:val="3A4A28"/>
          <w:sz w:val="20"/>
        </w:rPr>
        <w:t>Agnico Eagle Mines Limited is a Canadian-based senior gold mining company and the world's third-largest gold producer with approximately 3.3-3.5 million ounces of annual gold production across operations in Canada, Australia, Finland, and Mexico. Founded in 1957, AEM grew significantly through the transformative 2022 Kirkland Lake Gold merger. Q1 2026 delivered record revenue of $4.1B and record operating margins on realized gold prices of $4,861/oz, while Q2 2026 generated record free cash flow. The company holds a fortress balance sheet with $3.12B cash against only $319M debt. CEO Ammar Al-Joundi has led since 2015, emphasizing value per share over volume growth.</w:t>
      </w:r>
    </w:p>
    <w:p>
      <w:r>
        <w:rPr>
          <w:rFonts w:ascii="Calibri" w:hAnsi="Calibri"/>
          <w:b/>
          <w:color w:val="6E8450"/>
          <w:sz w:val="18"/>
        </w:rPr>
        <w:t>16,105 Employees · https://www.agnicoeagle.com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$10.4B Kirkland Lake Gold merger in 2022 was a transformative transaction that created the world's third-largest gold producer, doubling annual production from ~1.7M oz to 3.4M oz and fundamentally repositioning the company from a mid-tier to a senior gold producer [1]. The O3 Mining acquisition added further exploration optionality. However, the core business model (gold mining and selling) remains unchanged — this was a scale transformation, not a business model pivot. AI Deployment (1/2): Agnico Eagle has deployed advanced automation, digital analytics, satellite-guided exploration, and blockchain traceability across its mining operations under a newly appointed Chief Digital and Information Officer [3]. These represent genuine operational AI adoption, but no specific revenue gains or cost savings from AI deployment have been publicly quantified. Market Share (2/2): Third-largest gold producer globally with 3.3-3.5M oz annual guidance for 2026, operating exclusively in tier-one jurisdictions (Canada, Australia, Finland, Mexico) with dominant positions in the Canadian Abitibi and Nunavut gold districts [1][2]. Pipeline (1/2): Management has outlined a production growth pipeline targeting 4M+ oz annually by early 2030s, representing a 20-30% increase from current levels, with multiple expansion projects underway at Detour Lake, Odyssey, and other assets [2]. However, specific project-level timelines with revenue visibility are limited. R&amp;D Intensity (0/1): As a mining company, R&amp;D spending is minimal relative to exploration and capital expenditure. Innovation is primarily through operational improvements and geological discovery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Agnico Eagle's stated purpose centers on 'building lasting value for employees, communities, and shareholders through responsible gold mining' with a 67-year track record grounding this commitment [3]. The mission identifies stakeholders beyond shareholders and has endured through multiple gold price cycles, but it is not transformative or uniquely distinctive in the mining industry — many gold miners articulate similar commitments to responsible mining. Community Impact (2/2): Agnico Eagle invested $16 million in direct community programs and $1.4 billion in local procurement in 2022, with strong Indigenous employment programs and sustainability reporting aligned with UN SDGs and GRI standards [4]. The company achieved its best safety frequency performance in 65+ years, zero significant environmental incidents, and 78% water recycling rates, with a 30% Scope 1+2 emissions reduction target by 2030 and net-zero by 2050 [4]. Employee Retention (0/2): 16,105 employees with strong safety culture emphasis, but no specific voluntary turnover rates or average tenure data are publicly available. CEO Al-Joundi's 11+ year tenure demonstrates leadership stability, but workforce retention data is insufficient for scoring. Insider Buying (0/2): CEO Al-Joundi purchased $185K worth of shares at $154/share but also sold $8.0M at $178/share, with total insider selling of approximately $40M in the past twelve months and no meaningful net buying pattern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(7 metrics, weighted). AEM demonstrates exceptional financial strength with near-zero leverage — D/E of 1% with $3.12B cash against only $319M debt (score 1.0) [6]. ROE of 22.97% exceeds the 15% target (score 1.0, 2x weight), and profit margin of 40.44% is world-class (score 1.0) [6]. Revenue growth YoY of approximately 50% (Q1 2026 up 66.1% driven by $4,861/oz realized gold prices) and 5-year CAGR of approximately 30% (including Kirkland Lake merger contribution) both cap at 1.0 [1][2]. Forward P/E of 17.12 is below the 20 target (score 1.0). The primary drag is the Forward PEG of 2.47 (score 0.265, 2x weight), reflecting elevated valuation relative to forward growth expectations as gold prices normalize. Weighted sum: 8.53 / max 10 = 8.53, rounds to 9. Liquidity check: 3.4M shares x $214.04 = $728M daily — easily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Agnico Eagle demonstrates meaningful infinite game characteristics through its 67-year operating history, consistent focus on safe and responsible gold mining, and the transformative courage shown in the Kirkland Lake merger. CEO Al-Joundi's emphasis on 'value per share' over sheer production volume reflects a long-term orientation that prizes quality over growth-at-all-costs. The company has maintained its core purpose through multiple gold price cycles, leadership transitions, and industry consolidation waves. However, it remains fundamentally a single-commodity mining company that has not undergone transformative business model reinvention, and the significant insider selling pattern ($40M+) introduces tension between stated long-term conviction and executive behavior.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Agnico Eagle has operated for over 67 years with a consistent focus on responsible gold mining — building lasting value for employees, communities, and shareholders [3]. The purpose has survived multiple leadership transitions and gold price cycles, including the brutal 2013-2015 bear market. The company's commitment to operating exclusively in stable, low-risk jurisdictions (Canada, Australia, Finland, Mexico) reflects a principled approach to where and how it mines, distinguishing it from competitors who chase volume in politically unstable regions [2]. Strategic decisions like the Kirkland Lake merger trace back to building an enduring, high-quality franchise. However, the cause — while genuine and partially validated by decades of execution — is not yet at the level where it constitutes a transformative competitive advantage in the way Sinek's canonical examples demonstrate.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Agnico Eagle maintains a strong safety-first culture — achieving its best safety frequency performance in over 65 years and zero significant environmental incidents [4]. CEO Al-Joundi's 11+ year tenure and the company's history of internal leadership development suggest organizational stability and trust. The 'doing the right thing, working safely, acting responsibly, collaborating with purpose' values framework appears genuinely embedded in operations [3]. However, no specific employee retention, voluntary turnover, or average tenure data is publicly available to confirm exceptional organizational trust, and previous federal investigations into Indigenous consultation gaps at Nunavut operations suggest trust does not fully extend to all stakeholder relationships.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Agnico Eagle's competitive posture focuses on operational excellence and asset quality rather than defeating specific competitors. Management frames Newmont and Barrick Gold as companies pursuing different strategic choices (larger production in riskier jurisdictions) rather than enemies to be destroyed [2]. CEO Al-Joundi's emphasis on 'value per share' explicitly rejects the industry's traditional obsession with being the biggest producer, instead using rivals' strengths to highlight Agnico Eagle's differentiated approach to quality, jurisdiction selection, and capital discipline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Kirkland Lake Gold merger was a significant strategic transformation that doubled production and repositioned the company as a global top-three producer, while expansion from purely Canadian operations to an international portfolio across four countries represents meaningful evolution [2]. However, the fundamental business model remains unchanged — the company mines gold, processes it, and sells it. There has been no business model reinvention comparable to Apple's Mac-to-iPhone pivot. The evolution has been within the gold mining paradigm — bigger, better-located, lower-cost mines — not beyond it.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$10.4B Kirkland Lake Gold merger in 2022 was a bold, transformative bet that fundamentally repositioned Agnico Eagle from a mid-tier to a top-three global gold producer [2]. Management has consistently invested heavily in exploration and development during gold price downturns rather than cutting to protect quarterly earnings. CEO Al-Joundi's 'value per share' philosophy — a deliberate break from the industry's traditional emphasis on production volume — represents a principled strategic stance that sometimes means forgoing growth opportunities [3]. The company maintained and grew its dividend through challenging environments, and Q2 2026's record free cash flow is being deployed toward long-term growth projects rather than just buybacks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Agnico Eagle at 17.12x forward earnings is the highest-quality pure-play gold exposure in public markets, now delivering record results — Q1 2026 produced $4.1B revenue (+66% YoY) and record operating margins on $4,861/oz realized gold prices, while Q2 2026 generated record free cash flow [1]. The fortress balance sheet ($3.12B cash vs $319M debt, D/E of 1%) provides unmatched financial flexibility among senior gold miners, and 40.44% profit margin with 22.97% ROE demonstrate exceptional capital efficiency [6]. The production growth pipeline targeting 4M+ oz by early 2030s (from 3.3-3.5M current guidance) offers meaningful organic upside, while the stock's 56.7% 52-week gain still leaves Forward P/E at a reasonable 17.12x given the quality of assets in tier-one jurisdictions [2]. CEO Al-Joundi's 'value per share' philosophy, combined with $4.54B in TTM free cash flow, supports a capital return framework that should sustain dividend growth and opportunistic buybacks.</w:t>
      </w:r>
    </w:p>
    <w:p>
      <w:pPr>
        <w:spacing w:after="120"/>
      </w:pPr>
      <w:r>
        <w:rPr>
          <w:rFonts w:ascii="Calibri" w:hAnsi="Calibri"/>
          <w:b w:val="0"/>
          <w:color w:val="3A4A28"/>
          <w:sz w:val="20"/>
        </w:rPr>
        <w:t>The bear case centers squarely on gold price dependency and elevated valuation. Agnico Eagle's record results are substantially driven by gold prices near all-time highs — at $4,861/oz realized in Q1 2026, margins are exceptional, but a reversion toward historical averages (say $2,500/oz) would compress operating margins by 40-50% despite industry-leading AISC [1]. The Forward PEG of 2.47 prices in continued gold price strength and production growth, creating meaningful downside if either disappoints. The stock's 56.7% 52-week gain has compressed the dividend yield to 0.84%, offering minimal income support during a potential correction [6]. Significant insider selling — CEO Al-Joundi selling $8.0M at $178/share alongside total insider sales of $40M — signals potential management concern about near-term valuation after the massive run-up [5]. The 5-year revenue CAGR of ~30% is significantly inflated by the Kirkland Lake merger and gold price appreciation, making the growth trajectory appear stronger than organic performance warrants. Gold production guidance for 2026 was reaffirmed at the low end (3.3-3.5M oz), with Q1 output down 6% YoY, suggesting operational execution challenges even as prices soar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Production growth pipeline targeting 4M+ oz annually by early 2030s through expansion at Detour Lake, Odyssey underground, and other high-quality Canadian and international assets — a 20-30% increase from current levels [2]</w:t>
      </w:r>
    </w:p>
    <w:p>
      <w:pPr>
        <w:spacing w:before="40" w:after="40"/>
        <w:ind w:left="283"/>
      </w:pPr>
      <w:r>
        <w:rPr>
          <w:rFonts w:ascii="Calibri" w:hAnsi="Calibri"/>
          <w:b/>
          <w:color w:val="4A6B25"/>
          <w:sz w:val="20"/>
        </w:rPr>
        <w:t xml:space="preserve">2. </w:t>
      </w:r>
      <w:r>
        <w:rPr>
          <w:rFonts w:ascii="Calibri" w:hAnsi="Calibri"/>
          <w:b w:val="0"/>
          <w:color w:val="3A4A28"/>
          <w:sz w:val="20"/>
        </w:rPr>
        <w:t>Continued gold price strength driven by central bank buying (record purchases in 2024-2025), geopolitical uncertainty, and de-dollarization trends, supporting sustained record-level margins and free cash flow well above $4B annually [1]</w:t>
      </w:r>
    </w:p>
    <w:p>
      <w:pPr>
        <w:spacing w:before="40" w:after="40"/>
        <w:ind w:left="283"/>
      </w:pPr>
      <w:r>
        <w:rPr>
          <w:rFonts w:ascii="Calibri" w:hAnsi="Calibri"/>
          <w:b/>
          <w:color w:val="4A6B25"/>
          <w:sz w:val="20"/>
        </w:rPr>
        <w:t xml:space="preserve">3. </w:t>
      </w:r>
      <w:r>
        <w:rPr>
          <w:rFonts w:ascii="Calibri" w:hAnsi="Calibri"/>
          <w:b w:val="0"/>
          <w:color w:val="3A4A28"/>
          <w:sz w:val="20"/>
        </w:rPr>
        <w:t>Deployment of $4.54B annual free cash flow from a position of balance sheet strength ($3.12B cash, $2.80B net cash) toward accretive acquisitions, organic growth, dividend increases, and share buybacks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reversion from current near-record levels (~$4,800+/oz) to historical averages would significantly compress margins — at $2,500/oz, operating margins would fall dramatically despite industry-leading AISC, and the Forward PEG of 2.47 leaves no valuation buffer for a commodity downturn [1][6]</w:t>
      </w:r>
    </w:p>
    <w:p>
      <w:pPr>
        <w:spacing w:before="40" w:after="40"/>
        <w:ind w:left="283"/>
      </w:pPr>
      <w:r>
        <w:rPr>
          <w:rFonts w:ascii="Calibri" w:hAnsi="Calibri"/>
          <w:b/>
          <w:color w:val="4A6B25"/>
          <w:sz w:val="20"/>
        </w:rPr>
        <w:t xml:space="preserve">2. </w:t>
      </w:r>
      <w:r>
        <w:rPr>
          <w:rFonts w:ascii="Calibri" w:hAnsi="Calibri"/>
          <w:b w:val="0"/>
          <w:color w:val="3A4A28"/>
          <w:sz w:val="20"/>
        </w:rPr>
        <w:t>Significant insider selling of $40M+ including CEO Al-Joundi's $8M sale at $178/share suggests executive uncertainty about sustaining current valuation levels after the 56.7% 52-week price increase [5]</w:t>
      </w:r>
    </w:p>
    <w:p>
      <w:pPr>
        <w:spacing w:before="40" w:after="40"/>
        <w:ind w:left="283"/>
      </w:pPr>
      <w:r>
        <w:rPr>
          <w:rFonts w:ascii="Calibri" w:hAnsi="Calibri"/>
          <w:b/>
          <w:color w:val="4A6B25"/>
          <w:sz w:val="20"/>
        </w:rPr>
        <w:t xml:space="preserve">3. </w:t>
      </w:r>
      <w:r>
        <w:rPr>
          <w:rFonts w:ascii="Calibri" w:hAnsi="Calibri"/>
          <w:b w:val="0"/>
          <w:color w:val="3A4A28"/>
          <w:sz w:val="20"/>
        </w:rPr>
        <w:t>Q1 2026 gold production of 825,000 oz (down 6% YoY) and full-year guidance reaffirmed at the low end of 3.3-3.5M oz indicate potential operational execution challenges that could delay the 4M+ oz production growth timeline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IMMUNE — Agnico Eagle's core business is the physical extraction of gold from underground and open-pit mines across Canada, Australia, Finland, and Mexico [1][2]. AI structurally cannot substitute for the physical process of drilling, blasting, hauling, and processing ore. The value of gold is inherent and physical — it serves as a monetary store of value, industrial input, and jewelry material that no digital technology can replicate. Mining requires massive physical infrastructure, geological expertise, regulatory permitting, and decades-long mine development timelines that create absolute barriers to AI substitution. AI is a net positive for gold mining — it enhances geological modeling, enables predictive maintenance, optimizes ore processing, and improves safety through autonomous vehicle deployment underground [3]. Gold mining is as structurally immune to AI disruption as any industry. AI Opportunity (0/1): Agnico Eagle deploys AI internally for operational efficiency (digital analytics, automation, satellite-guided exploration) but does not generate customer-facing AI revenue [3]. AI is a cost optimization tool, not a revenue driver for a commodity producer.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Agnico Eagle Q1 and Q2 2026 Earnings — Record Q1 Revenue $4.1B (+66.1% YoY), Record Operating Margins at $4,861/oz Realized Gold Price, Q2 Record Free Cash Flow, EPS $3.41 Q1, Production 825K oz Q1, PRNewswire/Investing.com/Yahoo Finance, April-July 2026</w:t>
      </w:r>
    </w:p>
    <w:p>
      <w:pPr>
        <w:spacing w:before="20" w:after="20"/>
        <w:ind w:left="170"/>
      </w:pPr>
      <w:r>
        <w:rPr>
          <w:rFonts w:ascii="Calibri" w:hAnsi="Calibri"/>
          <w:b/>
          <w:color w:val="4A6B25"/>
          <w:sz w:val="15"/>
        </w:rPr>
        <w:t xml:space="preserve">2. </w:t>
      </w:r>
      <w:r>
        <w:rPr>
          <w:rFonts w:ascii="Calibri" w:hAnsi="Calibri"/>
          <w:b w:val="0"/>
          <w:color w:val="3A4A28"/>
          <w:sz w:val="17"/>
        </w:rPr>
        <w:t>Agnico Eagle Production Outlook and Strategy — 3.3-3.5M oz 2026 Guidance, 4M+ oz Pipeline by 2030s, Tier-One Jurisdiction Focus, Kirkland Lake Integration, Globe and Mail/TipRanks, 2025-2026</w:t>
      </w:r>
    </w:p>
    <w:p>
      <w:pPr>
        <w:spacing w:before="20" w:after="20"/>
        <w:ind w:left="170"/>
      </w:pPr>
      <w:r>
        <w:rPr>
          <w:rFonts w:ascii="Calibri" w:hAnsi="Calibri"/>
          <w:b/>
          <w:color w:val="4A6B25"/>
          <w:sz w:val="15"/>
        </w:rPr>
        <w:t xml:space="preserve">3. </w:t>
      </w:r>
      <w:r>
        <w:rPr>
          <w:rFonts w:ascii="Calibri" w:hAnsi="Calibri"/>
          <w:b w:val="0"/>
          <w:color w:val="3A4A28"/>
          <w:sz w:val="17"/>
        </w:rPr>
        <w:t>Agnico Eagle Leadership and Digital Strategy — CEO Al-Joundi 'Value Per Share' Philosophy, Digital/AI Transformation, Safety Culture, TheOrg.com/AgnicoEagle.com/AI Magazine, 2026</w:t>
      </w:r>
    </w:p>
    <w:p>
      <w:pPr>
        <w:spacing w:before="20" w:after="20"/>
        <w:ind w:left="170"/>
      </w:pPr>
      <w:r>
        <w:rPr>
          <w:rFonts w:ascii="Calibri" w:hAnsi="Calibri"/>
          <w:b/>
          <w:color w:val="4A6B25"/>
          <w:sz w:val="15"/>
        </w:rPr>
        <w:t xml:space="preserve">4. </w:t>
      </w:r>
      <w:r>
        <w:rPr>
          <w:rFonts w:ascii="Calibri" w:hAnsi="Calibri"/>
          <w:b w:val="0"/>
          <w:color w:val="3A4A28"/>
          <w:sz w:val="17"/>
        </w:rPr>
        <w:t>Agnico Eagle ESG Performance — $16M Community Investment, $1.4B Local Procurement, Best Safety Record in 65+ Years, Zero Environmental Incidents, 78% Water Recycling, 30% Emissions Reduction Target, Mines and Money/KnowESG, 2022-2026</w:t>
      </w:r>
    </w:p>
    <w:p>
      <w:pPr>
        <w:spacing w:before="20" w:after="20"/>
        <w:ind w:left="170"/>
      </w:pPr>
      <w:r>
        <w:rPr>
          <w:rFonts w:ascii="Calibri" w:hAnsi="Calibri"/>
          <w:b/>
          <w:color w:val="4A6B25"/>
          <w:sz w:val="15"/>
        </w:rPr>
        <w:t xml:space="preserve">5. </w:t>
      </w:r>
      <w:r>
        <w:rPr>
          <w:rFonts w:ascii="Calibri" w:hAnsi="Calibri"/>
          <w:b w:val="0"/>
          <w:color w:val="3A4A28"/>
          <w:sz w:val="17"/>
        </w:rPr>
        <w:t>Agnico Eagle Insider Trading — CEO Al-Joundi $8M Sale at $178, $185K Purchase at $154, Total Insider Selling ~$40M, Simply Wall St/Yahoo Finance, 2025-2026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GuruFocus — AEM Key Statistics: Forward P/E 17.12x, ROE 22.97%, D/E 1%, Profit Margin 40.44%, Revenue TTM $14.53B, Dividend Yield 0.84%, Stock Price $214.04,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