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AES</w:t>
      </w:r>
      <w:r>
        <w:rPr>
          <w:rFonts w:ascii="Calibri" w:hAnsi="Calibri"/>
          <w:b/>
          <w:color w:val="1A2010"/>
          <w:sz w:val="40"/>
        </w:rPr>
        <w:t xml:space="preserve">  The AES Corporation</w:t>
      </w:r>
    </w:p>
    <w:p>
      <w:pPr>
        <w:spacing w:after="120"/>
      </w:pPr>
      <w:r>
        <w:rPr>
          <w:rFonts w:ascii="Calibri" w:hAnsi="Calibri"/>
          <w:b/>
          <w:color w:val="6E8450"/>
          <w:sz w:val="18"/>
        </w:rPr>
        <w:t>DIVIDEND SLEEVE · 2026-10-04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Diversified · NYSE · United States</w:t>
      </w:r>
    </w:p>
    <w:p>
      <w:pPr>
        <w:spacing w:after="80"/>
      </w:pPr>
      <w:r>
        <w:rPr>
          <w:rFonts w:ascii="Calibri" w:hAnsi="Calibri"/>
          <w:b w:val="0"/>
          <w:color w:val="3A4A28"/>
          <w:sz w:val="20"/>
        </w:rPr>
        <w:t>The AES Corporation is a global energy company that owns and operates a diversified portfolio of power generation and utility businesses across 14 countries. AES has transformed from a traditional fossil fuel utility into one of the world's largest clean energy providers, with renewables comprising 53% of generation capacity including solar, wind, hydro, and battery storage. The company delivers electricity to approximately 2.6 million customers through its utility subsidiaries. Ranked #6 in the S&amp;P 500 for AI adoption by the MIT AI-Driven Enterprise Institute. CEO Andres Gluski has led the company since 2011. Headquartered in Arlington, Virginia.</w:t>
      </w:r>
    </w:p>
    <w:p>
      <w:r>
        <w:rPr>
          <w:rFonts w:ascii="Calibri" w:hAnsi="Calibri"/>
          <w:b/>
          <w:color w:val="6E8450"/>
          <w:sz w:val="18"/>
        </w:rPr>
        <w:t>10,000 Employees · https://www.aes.com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AES has executed a multi-year transformation from a coal-heavy utility to one of the world's largest clean energy platforms, with renewables now comprising 53% of generation capacity versus a predominantly thermal portfolio a decade ago [5]. Q2 2026 revenue grew 19.9% YoY to $3.42B, with adjusted EBITDA rising to $827M from $591M in Q1 alone [1][2]. This represents genuine strategic reinvention, though the underlying utility business model remains. AI Deployment (2/2): AES was ranked #6 in the S&amp;P 500 for AI adoption by the MIT AIDE Index, alongside NVDA, AMZN, META, and WMT — the top-ranked utility [3]. GridSim AI has shifted decision-making from reactive to predictive, partnerships with Andrew Ng's AI Fund drive autonomous solar deployment with Maximo, and AI-powered interconnection risk analysis protects capital allocation [3]. Market Share (1/2): AES is a major global utility player operating in 14 countries with approximately 2.6 million customers, but it does not dominate any single market; it is one of several large renewable energy developers globally. Product Pipeline (1/2): Significant renewables pipeline including solar, wind, and battery storage projects, with strong backlog of corporate PPA agreements from technology companies. R&amp;D Intensity (0/1): Low R&amp;D intensity typical for utilities; innovation occurs through operational AI adoption and project development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AES's stated purpose of 'Accelerating the future of energy' connects the company's work to a larger societal transformation — the clean energy transition — and is specific enough to differentiate from generic utility peers, but has not yet achieved the multi-decade validation that would earn a higher floor [5]. Community Impact (2/2): AES has been named one of the World's Most Ethical Companies by the Ethisphere Institute, holds a Great Places to Work designation, and has been a member of the FTSE4Good Index Series since 2017, demonstrating sustained external recognition for community and ethical practices [5]. Employee Retention (1/2): CEO Andres Gluski's 15-year tenure since 2011 demonstrates exceptional leadership stability; the appointment of Ricardo Falu as President in March 2026 suggests orderly succession planning [4]. The company emphasizes a people-first culture with continuous development.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Forward P/E of 6.29 is deeply discounted for a utility with 20% revenue growth and a significant renewables portfolio [1]. Revenue growth YoY of 19.9% significantly exceeds the 10% target, driven by higher development services and new project completions [1][2]. D/E of 256.9% is the primary drag, scoring 0.19 on that metric, reflecting the capital-intensive nature of utility operations. ROE of 9.6% is below the 15% target but positive, scoring 0.64. Profit margin of 14.3% is developing. Payout ratio of 26.4% is excellent. Consecutive years paid: 14 (since reinstatement in 2012). Consecutive years growth: 13 (annual increases from 2012-2025). 5-year dividend growth CAGR of approximately 3% is below the 6% target, scoring 0.5 on that metric [5]. Liquidity: $116.3M daily dollar volume passes easily.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AES demonstrates meaningful infinite game characteristics through its genuine transformation from a fossil fuel utility to a clean energy leader, sustained by CEO Gluski's 15-year leadership and the articulated purpose of 'Accelerating the future of energy.' The company's exit from coal — even when coal remained profitable — reflects Sinek's test of courage: choosing long-term relevance over short-term earnings. However, the high leverage inherent in utility operations constrains strategic flexibility, and the transformation has been aided significantly by favorable economics and regulatory tailwinds rather than purely purpose-driven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'Accelerating the future of energy' is a genuine, distinctive cause that connects AES's work to the global clean energy transition — it goes beyond profit and envisions a fundamentally different energy future [5]. The cause has been partially validated by the company's transformation from coal-heavy to 53% renewables, but it has not yet endured the kind of multi-decade crisis that would prove it is truly the competitive advantage. Leadership references this purpose in strategic decisions, and the renewable transition can be traced back to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Gluski's 15-year tenure and the orderly appointment of Ricardo Falu as President in March 2026 demonstrate leadership continuity and succession planning [4]. The Great Places to Work designation and Ethisphere recognition suggest above-average organizational health. However, AES operates across 14 countries with approximately 10,000 employees, making consistent trust difficult to maintain at scale, and no specific retention or turnover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AES's competitive language focuses on its transformation leadership and AI adoption ranking (#6 in S&amp;P 500) rather than acknowledging where peers like NextEra Energy, Enel, or Iberdrola have strengths that push AES to improve [3][5]. No evidence of management explicitly learning from or citing worthy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AES has fundamentally reinvented itself from a predominantly thermal/coal utility to one of the world's largest clean energy platforms, with renewables growing from a small fraction to 53% of generation capacity [5]. The company committed to exiting coal by 2025, writing down profitable coal assets and investing billions in solar, wind, and battery storage. This is exactly the kind of transformative strategic pivot Sinek describes — abandoning a working business model in service of long-term relevance, even when coal remained profitable in many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AES committed to exiting coal entirely, writing down profitable assets and investing heavily in renewable energy infrastructure even before favorable economics made it obvious [5]. The AI adoption strategy — becoming the #6 AI adopter in the S&amp;P 500 as a utility — shows willingness to invest in capabilities most peers ignore [3]. However, the transformation was significantly aided by declining renewable costs and regulatory incentives, reducing the purely courageous component.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AES is a transformed global utility trading at just 6.3x forward earnings with a 4.7% dividend yield, offering a compelling combination of deep value and growth. Q2 2026 revenue surged 19.9% YoY to $3.42B, with Q1 adjusted EBITDA rising 40% to $827M as new renewable projects and development services drove profitability [1][2]. The company's ranking as #6 in the S&amp;P 500 for AI adoption — the top utility — demonstrates operational innovation that drives cost efficiency across its fleet [3]. With 53% renewable generation capacity, a robust pipeline of solar, wind, and storage projects, and long-term corporate PPAs with major technology companies, AES is positioned as a direct beneficiary of AI-driven electricity demand growth. CEO Gluski's 15-year leadership provides strategic continuity, and the 14-year dividend growth streak signals disciplined capital allocation [4][5].</w:t>
      </w:r>
    </w:p>
    <w:p>
      <w:pPr>
        <w:spacing w:after="120"/>
      </w:pPr>
      <w:r>
        <w:rPr>
          <w:rFonts w:ascii="Calibri" w:hAnsi="Calibri"/>
          <w:b w:val="0"/>
          <w:color w:val="3A4A28"/>
          <w:sz w:val="20"/>
        </w:rPr>
        <w:t>The primary risk is AES's high leverage at 257% D/E, inherent in capital-intensive utility operations but constraining financial flexibility if interest rates remain elevated [5]. The 5-year dividend growth CAGR of just 3% — half the rate of inflation — means the real purchasing power of AES's income stream is eroding, which may disappoint income-focused investors despite the attractive current yield. The stock's decline from approximately $21 to $14.91 over the past year reflects market concerns about execution risk on the renewable buildout, regulatory uncertainty across 14 countries, and the anti-ESG backlash AES has flagged as a business risk in its 10-K filings [5]. Revenue growth has been inconsistent on a 5-year basis (3.5% CAGR) despite the strong recent quarter, and the transformation from coal requires continued massive capital investment that compresses free cash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electricity demand from data centers creating secular growth tailwind for AES's renewable energy portfolio, with long-term corporate PPAs from major technology companies providing revenue visibility [1][3]</w:t>
      </w:r>
    </w:p>
    <w:p>
      <w:pPr>
        <w:spacing w:before="40" w:after="40"/>
        <w:ind w:left="283"/>
      </w:pPr>
      <w:r>
        <w:rPr>
          <w:rFonts w:ascii="Calibri" w:hAnsi="Calibri"/>
          <w:b/>
          <w:color w:val="4A6B25"/>
          <w:sz w:val="20"/>
        </w:rPr>
        <w:t xml:space="preserve">2. </w:t>
      </w:r>
      <w:r>
        <w:rPr>
          <w:rFonts w:ascii="Calibri" w:hAnsi="Calibri"/>
          <w:b w:val="0"/>
          <w:color w:val="3A4A28"/>
          <w:sz w:val="20"/>
        </w:rPr>
        <w:t>Continued profitability improvement — Q1 2026 adjusted EBITDA surged 40% to $827M from $591M, and net income swung to $275M from a $73M loss, suggesting the renewable transformation is reaching inflection point [2]</w:t>
      </w:r>
    </w:p>
    <w:p>
      <w:pPr>
        <w:spacing w:before="40" w:after="40"/>
        <w:ind w:left="283"/>
      </w:pPr>
      <w:r>
        <w:rPr>
          <w:rFonts w:ascii="Calibri" w:hAnsi="Calibri"/>
          <w:b/>
          <w:color w:val="4A6B25"/>
          <w:sz w:val="20"/>
        </w:rPr>
        <w:t xml:space="preserve">3. </w:t>
      </w:r>
      <w:r>
        <w:rPr>
          <w:rFonts w:ascii="Calibri" w:hAnsi="Calibri"/>
          <w:b w:val="0"/>
          <w:color w:val="3A4A28"/>
          <w:sz w:val="20"/>
        </w:rPr>
        <w:t>Leading AI adoption (#6 in S&amp;P 500 per MIT AIDE Index) driving operational efficiencies across fleet via GridSim AI, autonomous solar deployment, and predictive analytics that reduce costs and improve capital allocation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High leverage at 257% D/E constrains financial flexibility and creates vulnerability to rising interest rates, with the capital-intensive renewable buildout requiring continued heavy investment that may compress free cash flow [5]</w:t>
      </w:r>
    </w:p>
    <w:p>
      <w:pPr>
        <w:spacing w:before="40" w:after="40"/>
        <w:ind w:left="283"/>
      </w:pPr>
      <w:r>
        <w:rPr>
          <w:rFonts w:ascii="Calibri" w:hAnsi="Calibri"/>
          <w:b/>
          <w:color w:val="4A6B25"/>
          <w:sz w:val="20"/>
        </w:rPr>
        <w:t xml:space="preserve">2. </w:t>
      </w:r>
      <w:r>
        <w:rPr>
          <w:rFonts w:ascii="Calibri" w:hAnsi="Calibri"/>
          <w:b w:val="0"/>
          <w:color w:val="3A4A28"/>
          <w:sz w:val="20"/>
        </w:rPr>
        <w:t>Dividend growth CAGR of just 3% over 5 years erodes real purchasing power and may not satisfy income investors despite the 4.7% current yield; the quarterly rate has been flat at $0.176 since early 2025 [5]</w:t>
      </w:r>
    </w:p>
    <w:p>
      <w:pPr>
        <w:spacing w:before="40" w:after="40"/>
        <w:ind w:left="283"/>
      </w:pPr>
      <w:r>
        <w:rPr>
          <w:rFonts w:ascii="Calibri" w:hAnsi="Calibri"/>
          <w:b/>
          <w:color w:val="4A6B25"/>
          <w:sz w:val="20"/>
        </w:rPr>
        <w:t xml:space="preserve">3. </w:t>
      </w:r>
      <w:r>
        <w:rPr>
          <w:rFonts w:ascii="Calibri" w:hAnsi="Calibri"/>
          <w:b w:val="0"/>
          <w:color w:val="3A4A28"/>
          <w:sz w:val="20"/>
        </w:rPr>
        <w:t>Execution risk across 14 countries with varying regulatory environments, anti-ESG political headwinds flagged in AES's own 10-K filings, and dependence on government incentives for renewable energy project economics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AES operates physical power generation, transmission, and distribution infrastructure that AI structurally cannot displace — power plants, grid infrastructure, substations, and energy delivery require physical-world assets and operations [1][5]. AI actually increases demand for AES's core product: electricity consumption from AI data centers is driving unprecedented growth in power demand, positioning AES as a direct beneficiary of AI adoption. As a regulated utility with long-term PPAs, AES has deep regulatory moats and switching costs. AI Opportunity (1/1): AES was ranked #6 in the S&amp;P 500 for AI adoption by the MIT AIDE Index, the highest-ranked utility [3]. GridSim AI drives predictive decision-making across the fleet, autonomous solar deployment with Maximo reduces project costs, partnerships with Andrew Ng's AI Fund are delivering measurable operational improvements, and AI-powered interconnection risk analysis protects capital allocation decisions [3]. CEO Gluski has stated that companies that move fastest in deploying AI will lead the energy transition.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AES Corporation Q2 2026 Earnings — Revenue $3.42B (+19.9% YoY), Net Income $426M — SEC 8-K, QuiverQuant, August 2026</w:t>
      </w:r>
    </w:p>
    <w:p>
      <w:pPr>
        <w:spacing w:before="20" w:after="20"/>
        <w:ind w:left="170"/>
      </w:pPr>
      <w:r>
        <w:rPr>
          <w:rFonts w:ascii="Calibri" w:hAnsi="Calibri"/>
          <w:b/>
          <w:color w:val="4A6B25"/>
          <w:sz w:val="15"/>
        </w:rPr>
        <w:t xml:space="preserve">2. </w:t>
      </w:r>
      <w:r>
        <w:rPr>
          <w:rFonts w:ascii="Calibri" w:hAnsi="Calibri"/>
          <w:b w:val="0"/>
          <w:color w:val="3A4A28"/>
          <w:sz w:val="17"/>
        </w:rPr>
        <w:t>AES Corporation Q1 2026 Earnings — Revenue $3.18B (+9% YoY), Adjusted EBITDA $827M (+40%), Net Income $275M — SEC 8-K, Quartr, May 2026</w:t>
      </w:r>
    </w:p>
    <w:p>
      <w:pPr>
        <w:spacing w:before="20" w:after="20"/>
        <w:ind w:left="170"/>
      </w:pPr>
      <w:r>
        <w:rPr>
          <w:rFonts w:ascii="Calibri" w:hAnsi="Calibri"/>
          <w:b/>
          <w:color w:val="4A6B25"/>
          <w:sz w:val="15"/>
        </w:rPr>
        <w:t xml:space="preserve">3. </w:t>
      </w:r>
      <w:r>
        <w:rPr>
          <w:rFonts w:ascii="Calibri" w:hAnsi="Calibri"/>
          <w:b w:val="0"/>
          <w:color w:val="3A4A28"/>
          <w:sz w:val="17"/>
        </w:rPr>
        <w:t>AES AI Strategy — Ranked #6 in S&amp;P 500 for AI Adoption (MIT AIDE Index), GridSim AI, Andrew Ng AI Fund Partnership — AES Corporate, 2026</w:t>
      </w:r>
    </w:p>
    <w:p>
      <w:pPr>
        <w:spacing w:before="20" w:after="20"/>
        <w:ind w:left="170"/>
      </w:pPr>
      <w:r>
        <w:rPr>
          <w:rFonts w:ascii="Calibri" w:hAnsi="Calibri"/>
          <w:b/>
          <w:color w:val="4A6B25"/>
          <w:sz w:val="15"/>
        </w:rPr>
        <w:t xml:space="preserve">4. </w:t>
      </w:r>
      <w:r>
        <w:rPr>
          <w:rFonts w:ascii="Calibri" w:hAnsi="Calibri"/>
          <w:b w:val="0"/>
          <w:color w:val="3A4A28"/>
          <w:sz w:val="17"/>
        </w:rPr>
        <w:t>AES Leadership — CEO Andres Gluski (since 2011), President Ricardo Falu (appointed March 2026) — Equilar, AES Corporate, 2026</w:t>
      </w:r>
    </w:p>
    <w:p>
      <w:pPr>
        <w:spacing w:before="20" w:after="20"/>
        <w:ind w:left="170"/>
      </w:pPr>
      <w:r>
        <w:rPr>
          <w:rFonts w:ascii="Calibri" w:hAnsi="Calibri"/>
          <w:b/>
          <w:color w:val="4A6B25"/>
          <w:sz w:val="15"/>
        </w:rPr>
        <w:t xml:space="preserve">5. </w:t>
      </w:r>
      <w:r>
        <w:rPr>
          <w:rFonts w:ascii="Calibri" w:hAnsi="Calibri"/>
          <w:b w:val="0"/>
          <w:color w:val="3A4A28"/>
          <w:sz w:val="17"/>
        </w:rPr>
        <w:t>AES ESG and Financial Data — FTSE4Good Member Since 2017, Ethisphere Most Ethical Companies, 53% Renewable Capacity, Anti-ESG Risk Factor — Yahoo Finance, AES 10-K,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