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AFL</w:t>
      </w:r>
      <w:r>
        <w:rPr>
          <w:rFonts w:ascii="Calibri" w:hAnsi="Calibri"/>
          <w:b/>
          <w:color w:val="1A2010"/>
          <w:sz w:val="40"/>
        </w:rPr>
        <w:t xml:space="preserve">  Aflac Incorporated</w:t>
      </w:r>
    </w:p>
    <w:p>
      <w:pPr>
        <w:spacing w:after="120"/>
      </w:pPr>
      <w:r>
        <w:rPr>
          <w:rFonts w:ascii="Calibri" w:hAnsi="Calibri"/>
          <w:b/>
          <w:color w:val="6E8450"/>
          <w:sz w:val="18"/>
        </w:rPr>
        <w:t>DIVIDEND SLEEVE · 2026-09-08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United States</w:t>
      </w:r>
    </w:p>
    <w:p>
      <w:pPr>
        <w:spacing w:after="80"/>
      </w:pPr>
      <w:r>
        <w:rPr>
          <w:rFonts w:ascii="Calibri" w:hAnsi="Calibri"/>
          <w:b w:val="0"/>
          <w:color w:val="3A4A28"/>
          <w:sz w:val="20"/>
        </w:rPr>
        <w:t>Aflac Incorporated is the world's largest provider of supplemental health insurance, operating primarily in the United States and Japan. The company offers voluntary insurance products including accident, cancer, critical illness, hospital indemnity, dental, and vision coverage sold at the worksite and directly to consumers. Aflac Japan accounts for approximately 70% of total premium revenue. The company reported TTM revenue of $18.1B with net income of $4.6B and has raised its dividend for 43 consecutive years.</w:t>
      </w:r>
    </w:p>
    <w:p>
      <w:r>
        <w:rPr>
          <w:rFonts w:ascii="Calibri" w:hAnsi="Calibri"/>
          <w:b/>
          <w:color w:val="6E8450"/>
          <w:sz w:val="18"/>
        </w:rPr>
        <w:t>12,500 Employees · https://www.aflac.com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Aflac has steadily expanded its U.S. product portfolio with network dental and vision, group life and disability, pet insurance, Medicare supplement, and direct-to-consumer channels over the past five years, but these are incremental extensions of the supplemental insurance model rather than transformative pivots [1]. The core business model — voluntary worksite insurance in the U.S. and cancer/medical insurance in Japan — remains fundamentally unchanged. AI Deployment (2/2): Aflac's Hatch innovation lab is deploying generative AI proof-of-concepts across the insurance value chain from sales to claims, with Code-Based Processing already auto-adjudicating lower-risk claims and delivering documented ROI [2]. CIO Shelia Anderson's tech modernization strategy includes agentic AI for proactive customer service, representing measurable operational AI deployment ahead of most insurance peers. Market Share (1/2): Aflac maintains dominant market share in Japan's third-sector insurance and is the largest supplemental insurance provider in the U.S. [1]. Position is stable rather than actively gaining, but leadership is well-defended by distribution network depth and brand recognition (Aflac Duck). Product Pipeline (1/2): Direct-to-consumer digital platform and group benefits expansion in the U.S. provide visible growth vectors, and AI-enhanced claims processing creates operational leverage, but no transformative next-generation product has been announced with specific revenue targets [2]. R&amp;D Intensity (1/1): Aflac invests above industry average in technology modernization through its Hatch innovation lab, digital transformation initiatives, and enterprise-wide AI deployment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Aflac's stated purpose — helping people manage the financial burden when illness or injury strikes — is clear and genuine but standard for the insurance industry, lacking a distinctive transformative vision beyond the obvious value proposition. Community Impact (2/2): Aflac's philanthropic commitment is distinctive and sustained — the Aflac Childhood Cancer Campaign has raised over $176M, and the Aflac Cancer and Blood Disorders Center at Children's Healthcare of Atlanta bears the company's name [3]. The My Special Aflac Duck, a robotic comfort companion for children with cancer, demonstrates mission-aligned innovation. These are signature investments, not generic corporate philanthropy. Employee Retention (1/2): CEO Dan Amos has served since 1990, providing extraordinary leadership continuity — one of the longest-serving CEOs in the Fortune 200 [2]. The Columbus, GA headquarters fosters community-rooted culture. However, some Glassdoor reviews cite concerns about management culture, and specific retention or tenure metrics are not publicly available to confirm above-average performance. Insider Buying (1/2): Aflac has returned substantial capital to shareholders through aggressive share buybacks — reducing share count from over 600M to ~495M over the past decade — demonstrating management conviction in the long-term story, though direct insider open-market purchases have been modest relative to 10b5-1 selling plans.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Aflac's financial profile is anchored by a conservative balance sheet with D/E of 26% (score 1.0), well below the 70% target, and ROE of 16.47% exceeding the 15% target (score 1.0) [1][4]. Net profit margin of 26.91% exceeds the 20% target (score 1.0), and Forward P/E of 15.57 sits comfortably below 20 (score 1.0). Revenue growth metrics are the weak link: TTM YoY growth of ~4.3% (score 0.81) reflects H1 2026 recovery — Q1 revenue of $4.3B surged 27.9% and Q2 was $4.1B — but the 5-year revenue CAGR of -4.54% (score 0.03) reflects yen depreciation and Japan demographic headwinds [1]. The dividend profile is exceptional: 43 consecutive years of increases (score 1.0, 2x weight), payout ratio of 28% (score 1.0), and 5-year dividend growth CAGR of 15.68% (score 1.0, 2x weight) — representing Dividend Aristocrat status with one of the strongest growth profiles in insurance [4]. Daily dollar volume of ~$270M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Aflac demonstrates strong infinite game characteristics through CEO Dan Amos's 36-year tenure, 43 consecutive years of dividend growth, and $176M+ invested in childhood cancer research through the Aflac Cancer Center. The company plays a genuine long game in a business that rewards patience and trust. However, the Japan market faces secular demographic decline, and Aflac's response has been to manage decline efficiently through share buybacks and cost optimization rather than boldly reinventing the franchise for the next era.</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Aflac's commitment to protecting people from the financial burden of illness is genuine and partially lived — validated by $176M+ invested in childhood cancer research through the Aflac Cancer Center, the My Special Aflac Duck program for pediatric cancer patients, and 43 consecutive years of dividend increases demonstrating commitment to all stakeholders [3]. CEO Dan Amos's 36-year leadership tenure provides exceptional purpose continuity. However, the purpose is protective rather than transformative — Aflac's cause is to be there when bad things happen, not to create a fundamentally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Dan Amos's 36-year tenure provides remarkable leadership stability, and the Columbus, GA headquarters fosters a community-rooted organizational culture [2]. Consistent promotion from within and long executive tenures suggest organizational trust. However, some Glassdoor reviews describe a fear-based environment at certain management levels, and no specific retention metrics distinguish Aflac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Aflac competes constructively in the supplemental insurance market alongside MetLife, Unum, and others without engaging in destructive competitive rhetoric. Management's strategic language consistently focuses on expanding the supplemental insurance category and improving customer outcomes rather than defeating competitors [2]. The Hatch innovation lab's AI investments reflect a learning-oriented competitive response to insurtech entrants.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Aflac's original expansion from the U.S. into Japan in 1974 — eventually making Aflac Japan the larger business segment — was a genuinely bold strategic move [1]. More recently, the company has adapted through direct-to-consumer digital channels, group benefits expansion, and AI-driven claims automation. However, these are incremental extensions within the supplemental insurance model rather than the kind of transformative reinvention Sinek associates with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Aflac has demonstrated steady long-term leadership under Dan Amos, consistently prioritizing shareholder returns through 43 consecutive dividend increases and aggressive share repurchases ($1.0B+ in Q1 2026 alone) even as Japan demographics pressure the top line [1][4]. The company's sustained $176M+ investment in childhood cancer research through downturns shows values-driven capital allocation. However, the Japan strategy has been to manage decline efficiently through financial engineering rather than make bold, costly bets on new growth vectors.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Aflac at 15.57x forward earnings with 26.91% profit margin, 16.47% ROE, and D/E of just 26% represents one of the most financially disciplined companies in the insurance sector [1][4]. The 43-year consecutive dividend growth streak with a 15.68% 5-year dividend growth CAGR and only 28% payout ratio provides substantial runway for continued increases — Dividend Aristocrat quality at a reasonable valuation. H1 2026 total revenue of $8.5B demonstrates recovery momentum with Q1 up 27.9% YoY and Q2 delivering $825M net income [1]. Aggressive share repurchases (reducing shares from 600M+ to ~495M over the past decade) amplify per-share value creation. The Inspire Impact Score of 51 (ALIGNED) with zero negative attributions and strong ESG positioning makes AFL suitable for faith-aligned portfolios [3].</w:t>
      </w:r>
    </w:p>
    <w:p>
      <w:pPr>
        <w:spacing w:after="120"/>
      </w:pPr>
      <w:r>
        <w:rPr>
          <w:rFonts w:ascii="Calibri" w:hAnsi="Calibri"/>
          <w:b w:val="0"/>
          <w:color w:val="3A4A28"/>
          <w:sz w:val="20"/>
        </w:rPr>
        <w:t>The bear case centers on Japan's structural demographic decline — approximately 70% of Aflac's premium revenue comes from a market where the population is shrinking by ~500,000 annually, creating persistent headwinds for organic growth [1]. The 5-year revenue CAGR of -4.54% quantifies this challenge: despite U.S. growth initiatives, total company revenue has contracted over the medium term. The Forward P/E of 15.57 exceeding the trailing P/E of 12.82 suggests the market prices in earnings deceleration. Currency risk from yen/dollar translation adds volatility — a weakening yen can materially reduce dollar-denominated revenue from Aflac Japan. Japan's aging population also increases claims frequency on Aflac's cancer and medical products, potentially pressuring loss ratios even as the premium base erodes. The 2.08% dividend yield, while supported by a strong growth trajectory, is modest for income-focused investors relative to higher-yielding alternatives in the insurance and financial sectors.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Aggressive share repurchase program ($1.0B+ in Q1 2026 alone) driving EPS growth above underlying earnings growth, with potential for acceleration if the stock retreats from current levels [1]</w:t>
      </w:r>
    </w:p>
    <w:p>
      <w:pPr>
        <w:spacing w:before="40" w:after="40"/>
        <w:ind w:left="283"/>
      </w:pPr>
      <w:r>
        <w:rPr>
          <w:rFonts w:ascii="Calibri" w:hAnsi="Calibri"/>
          <w:b/>
          <w:color w:val="4A6B25"/>
          <w:sz w:val="20"/>
        </w:rPr>
        <w:t xml:space="preserve">2. </w:t>
      </w:r>
      <w:r>
        <w:rPr>
          <w:rFonts w:ascii="Calibri" w:hAnsi="Calibri"/>
          <w:b w:val="0"/>
          <w:color w:val="3A4A28"/>
          <w:sz w:val="20"/>
        </w:rPr>
        <w:t>AI deployment through Hatch innovation lab — Code-Based Processing for claims auto-adjudication and agentic AI for proactive customer service — could meaningfully reduce operating expenses and improve loss ratios [2]</w:t>
      </w:r>
    </w:p>
    <w:p>
      <w:pPr>
        <w:spacing w:before="40" w:after="40"/>
        <w:ind w:left="283"/>
      </w:pPr>
      <w:r>
        <w:rPr>
          <w:rFonts w:ascii="Calibri" w:hAnsi="Calibri"/>
          <w:b/>
          <w:color w:val="4A6B25"/>
          <w:sz w:val="20"/>
        </w:rPr>
        <w:t xml:space="preserve">3. </w:t>
      </w:r>
      <w:r>
        <w:rPr>
          <w:rFonts w:ascii="Calibri" w:hAnsi="Calibri"/>
          <w:b w:val="0"/>
          <w:color w:val="3A4A28"/>
          <w:sz w:val="20"/>
        </w:rPr>
        <w:t>U.S. direct-to-consumer digital platform and group benefits expansion could diversify revenue away from Japan dependence, with the U.S. segment showing improving growth trajectory through H1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Japan demographic decline — population shrinking ~500K annually — creates persistent headwinds for Aflac Japan's premium base, which represents ~70% of total premium revenue and cannot be fully offset by U.S. growth [1]</w:t>
      </w:r>
    </w:p>
    <w:p>
      <w:pPr>
        <w:spacing w:before="40" w:after="40"/>
        <w:ind w:left="283"/>
      </w:pPr>
      <w:r>
        <w:rPr>
          <w:rFonts w:ascii="Calibri" w:hAnsi="Calibri"/>
          <w:b/>
          <w:color w:val="4A6B25"/>
          <w:sz w:val="20"/>
        </w:rPr>
        <w:t xml:space="preserve">2. </w:t>
      </w:r>
      <w:r>
        <w:rPr>
          <w:rFonts w:ascii="Calibri" w:hAnsi="Calibri"/>
          <w:b w:val="0"/>
          <w:color w:val="3A4A28"/>
          <w:sz w:val="20"/>
        </w:rPr>
        <w:t>Yen/dollar currency translation adds significant volatility to reported results; a weakening yen can materially reduce dollar-denominated revenue and earnings from the Japan segment, as reflected in the -4.54% 5-year revenue CAGR</w:t>
      </w:r>
    </w:p>
    <w:p>
      <w:pPr>
        <w:spacing w:before="40" w:after="40"/>
        <w:ind w:left="283"/>
      </w:pPr>
      <w:r>
        <w:rPr>
          <w:rFonts w:ascii="Calibri" w:hAnsi="Calibri"/>
          <w:b/>
          <w:color w:val="4A6B25"/>
          <w:sz w:val="20"/>
        </w:rPr>
        <w:t xml:space="preserve">3. </w:t>
      </w:r>
      <w:r>
        <w:rPr>
          <w:rFonts w:ascii="Calibri" w:hAnsi="Calibri"/>
          <w:b w:val="0"/>
          <w:color w:val="3A4A28"/>
          <w:sz w:val="20"/>
        </w:rPr>
        <w:t>Insurtech competitors leveraging AI for streamlined underwriting and claims processing could erode Aflac's traditional distribution advantages in the U.S. worksite market, particularly among smaller employers adopting digital-first benefits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Aflac's core business — paying supplemental insurance claims triggered by cancer diagnoses, accidents, and hospitalizations — involves deeply regulated, relationship-driven, and actuarially complex processes that AI cannot easily displace [1]. The worksite distribution model depends on employer relationships and benefits broker networks with high switching costs. Japan's regulatory environment provides additional protection. However, AI-powered insurtech startups could streamline underwriting and claims processing, and AI-driven health prediction models could alter risk pooling dynamics in the supplemental insurance market over time. AI Opportunity (1/1): Aflac generates quantifiable operational value from AI — Code-Based Processing auto-adjudicates lower-risk claims with proven ROI, the Hatch lab is deploying generative AI across the insurance value chain, and CIO Shelia Anderson is pursuing agentic AI for proactive customer engagement [2]. These represent real, deployed AI capabilities generating measurable internal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Aflac Q1 &amp; Q2 2026 Earnings Releases — Aflac Investor Relations, PRNewswire, TradingView, April-July 2026</w:t>
      </w:r>
    </w:p>
    <w:p>
      <w:pPr>
        <w:spacing w:before="20" w:after="20"/>
        <w:ind w:left="170"/>
      </w:pPr>
      <w:r>
        <w:rPr>
          <w:rFonts w:ascii="Calibri" w:hAnsi="Calibri"/>
          <w:b/>
          <w:color w:val="4A6B25"/>
          <w:sz w:val="15"/>
        </w:rPr>
        <w:t xml:space="preserve">2. </w:t>
      </w:r>
      <w:r>
        <w:rPr>
          <w:rFonts w:ascii="Calibri" w:hAnsi="Calibri"/>
          <w:b w:val="0"/>
          <w:color w:val="3A4A28"/>
          <w:sz w:val="17"/>
        </w:rPr>
        <w:t>Aflac AI Innovation &amp; CIO Strategy — CIO.com, Forbes, Constellation Research, 2025-2026</w:t>
      </w:r>
    </w:p>
    <w:p>
      <w:pPr>
        <w:spacing w:before="20" w:after="20"/>
        <w:ind w:left="170"/>
      </w:pPr>
      <w:r>
        <w:rPr>
          <w:rFonts w:ascii="Calibri" w:hAnsi="Calibri"/>
          <w:b/>
          <w:color w:val="4A6B25"/>
          <w:sz w:val="15"/>
        </w:rPr>
        <w:t xml:space="preserve">3. </w:t>
      </w:r>
      <w:r>
        <w:rPr>
          <w:rFonts w:ascii="Calibri" w:hAnsi="Calibri"/>
          <w:b w:val="0"/>
          <w:color w:val="3A4A28"/>
          <w:sz w:val="17"/>
        </w:rPr>
        <w:t>Aflac ESG &amp; Community Impact — Aflac Newsroom, Aflac Cancer Center, Sustainability Bond Report,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GuruFocus, Investing.com — AFL Key Statistics and Financial Ratios,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