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AGIG</w:t>
      </w:r>
      <w:r>
        <w:rPr>
          <w:rFonts w:ascii="Calibri" w:hAnsi="Calibri"/>
          <w:b/>
          <w:color w:val="1A2010"/>
          <w:sz w:val="40"/>
        </w:rPr>
        <w:t xml:space="preserve">  Abundia Global Impact Group, Inc.</w:t>
      </w:r>
    </w:p>
    <w:p>
      <w:pPr>
        <w:spacing w:after="120"/>
      </w:pPr>
      <w:r>
        <w:rPr>
          <w:rFonts w:ascii="Calibri" w:hAnsi="Calibri"/>
          <w:b/>
          <w:color w:val="6E8450"/>
          <w:sz w:val="18"/>
        </w:rPr>
        <w:t>GROWTH SLEEVE · 2026-09-26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Renewable · NYSE American · United States</w:t>
      </w:r>
    </w:p>
    <w:p>
      <w:pPr>
        <w:spacing w:after="80"/>
      </w:pPr>
      <w:r>
        <w:rPr>
          <w:rFonts w:ascii="Calibri" w:hAnsi="Calibri"/>
          <w:b w:val="0"/>
          <w:color w:val="3A4A28"/>
          <w:sz w:val="20"/>
        </w:rPr>
        <w:t>Abundia Global Impact Group, Inc. (formerly Houston American Energy Corp.) is a Houston, Texas-based low-carbon energy company developing commercial-scale facilities that convert waste plastics and certified biomass into renewable fuels, energy, and chemical products. The company began trading as AGIG on NYSE American in December 2025 following a reverse merger, and acquired RPD Technologies in 2026 to diversify near-term revenue while its flagship Phase 2 Waste Plastic to Renewable Fuels and Chemicals Plant targets 2029 production.</w:t>
      </w:r>
    </w:p>
    <w:p>
      <w:r>
        <w:rPr>
          <w:rFonts w:ascii="Calibri" w:hAnsi="Calibri"/>
          <w:b/>
          <w:color w:val="6E8450"/>
          <w:sz w:val="18"/>
        </w:rPr>
        <w:t>https://abundiaimpact.com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AGIG only became a public operating company via reverse merger with Houston American Energy Corp in December 2025, and its 2026 growth has come almost entirely from the RPD Technologies acquisition rather than organic commercialization of its core waste-to-fuel technology [1][3]. AI Deployment (0/2): No evidence of AI product deployment or AI-driven internal efficiency gains was found. Market Share (0/2): The company is pre-commercial in its core waste-plastic-to-fuel business with no market share data or category leadership evidence [1]. Product Pipeline (1/2): The Phase 2 Waste Plastic to Renewable Fuels and Chemicals Plant has a named, if distant, timeline of 2029 for production and revenue generation, providing some pipeline visibility [1]. R&amp;D Intensity (0/1): No R&amp;D-to-revenue data relative to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Abundia's purpose of 'leading the transition to a decarbonized future by converting waste plastics and certified biomass into renewable fuels, energy, and chemical products' is clear and connects to a larger environmental purpose, but is not yet distinctive or validated by any operating history since the company only began operating under this identity in December 2025 [1][3]. Community Impact (0/2): No evidence of charitable giving or community investment programs was found. Employee Retention (0/2): No tenure or turnover data is available for this newly formed public company. Insider Buying (0/2): No evidence of net insider buying was found in available filings or press coverage.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125,998 shares at a $1.34 stock price is approximately $168,800/day in dollar volume, far below the $1,000,000 liquidity floor required for IOWN to trade this name. Per the hard rule, Infrastructure score is set to 0 regardless of all other metrics. For reference, revenue growth is dramatic off a tiny base (Q2 2026 revenue of $2.0M vs $0.5M in Q2 2025) but the company remains pre-profit with a forward P/E of -6.4 and D/E of 40.2%, and the business has essentially no operating history as a public commercial entity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Abundia's decarbonization mission is genuine on paper, and management is willing to fund a multi-year capital project (the Phase 2 plant, targeted for 2029) well ahead of revenue — a long-horizon commitment. But the company's entire public identity dates to a December 2025 reverse merger out of a dormant oil-and-gas shell (Houston American Energy Corp), leaving no track record of the mission being tested through a market cycle, crisis, or leadership transition, and its near-term growth has come from an acquired business (RPD) rather than the stated core technology.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decarbonization mission is genuine and service-oriented, but the company has no multi-year track record under this identity — it only adopted this purpose and name in December 2025 via reverse merger — so the cause is unproven and cannot yet be said to shape strategic decisions through any tested period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team is described as experienced in project development, finance and operations, and no red flags such as layoffs or turnover were found, but there is no positive evidence of exceptional retention or culture either given the company's brief public history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referencing competitors or a learning-oriented competitive posture was found in available materials.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2026 acquisition of RPD Technologies to diversify revenue while the core waste-to-fuel plant is built out shows some adaptive flexibility, though it is an incremental bolt-on rather than a transformative reinvention of the business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a Phase 2 plant that will not generate revenue until 2029 while operating with limited current revenue ($3.71M TTM) shows willingness to invest ahead of near-term earnings, though this reflects the company's pre-commercial stage as much as a deliberate sacrifice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Abundia Global Impact Group offers speculative exposure to the waste-to-fuel decarbonization theme, with Q2 2026 revenue of $2.0M (up from $0.5M a year earlier) driven by the newly acquired RPD Technologies segment, $11.2M in cash, and $48.5M in total assets providing some near-term runway [1]. The company holds approved LCFS-style positioning in low-carbon fuels and chemicals, and its Phase 2 Waste Plastic to Renewable Fuels and Chemicals Plant, though not slated to generate revenue until 2029, represents a genuine long-horizon bet on a large addressable market for plastics recycling and low-carbon fuels [1].</w:t>
      </w:r>
    </w:p>
    <w:p>
      <w:pPr>
        <w:spacing w:after="120"/>
      </w:pPr>
      <w:r>
        <w:rPr>
          <w:rFonts w:ascii="Calibri" w:hAnsi="Calibri"/>
          <w:b w:val="0"/>
          <w:color w:val="3A4A28"/>
          <w:sz w:val="20"/>
        </w:rPr>
        <w:t>The bear case is dominant here: AGIG only became a public operating company in December 2025 via reverse merger out of a dormant oil-and-gas shell (Houston American Energy Corp), meaning there is no multi-year operating or execution track record to evaluate [1][3]. Average daily dollar volume of roughly $169,000 falls far below the $1,000,000 IOWN liquidity floor, making the stock effectively untradeable at institutional scale and triggering an automatic zero on Infrastructure. The core waste-plastic-to-fuel technology remains pre-commercial with the flagship plant not expected to generate revenue until 2029, meaning current financials reflect an acquired business (RPD) rather than validation of the core thesis, and the company carries meaningful execution and dilution risk typical of newly public micro-cap energy-transition stories.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RPD Technologies integration continuing to scale, having generated $5.7M invoiced in H1 2026 versus $0.5M in the prior-year quarter, diversifying revenue ahead of the core plant's completion [1]</w:t>
      </w:r>
    </w:p>
    <w:p>
      <w:pPr>
        <w:spacing w:before="40" w:after="40"/>
        <w:ind w:left="283"/>
      </w:pPr>
      <w:r>
        <w:rPr>
          <w:rFonts w:ascii="Calibri" w:hAnsi="Calibri"/>
          <w:b/>
          <w:color w:val="4A6B25"/>
          <w:sz w:val="20"/>
        </w:rPr>
        <w:t xml:space="preserve">2. </w:t>
      </w:r>
      <w:r>
        <w:rPr>
          <w:rFonts w:ascii="Calibri" w:hAnsi="Calibri"/>
          <w:b w:val="0"/>
          <w:color w:val="3A4A28"/>
          <w:sz w:val="20"/>
        </w:rPr>
        <w:t>Progress toward the Phase 2 Waste Plastic to Renewable Fuels and Chemicals Plant, targeted for 2029 production, could unlock the company's primary long-term value driver [1]</w:t>
      </w:r>
    </w:p>
    <w:p>
      <w:pPr>
        <w:spacing w:before="40" w:after="40"/>
        <w:ind w:left="283"/>
      </w:pPr>
      <w:r>
        <w:rPr>
          <w:rFonts w:ascii="Calibri" w:hAnsi="Calibri"/>
          <w:b/>
          <w:color w:val="4A6B25"/>
          <w:sz w:val="20"/>
        </w:rPr>
        <w:t xml:space="preserve">3. </w:t>
      </w:r>
      <w:r>
        <w:rPr>
          <w:rFonts w:ascii="Calibri" w:hAnsi="Calibri"/>
          <w:b w:val="0"/>
          <w:color w:val="3A4A28"/>
          <w:sz w:val="20"/>
        </w:rPr>
        <w:t>Expansion of the leadership team, including the July 2026 appointment of a Chief Commercial Officer with 25+ years of industrial/energy experience, to support commercialization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Average daily dollar volume of approximately $169,000 is far below the $1,000,000 IOWN liquidity floor, triggering an automatic Infrastructure score of zero and signaling the stock is effectively untradeable at scale [4]</w:t>
      </w:r>
    </w:p>
    <w:p>
      <w:pPr>
        <w:spacing w:before="40" w:after="40"/>
        <w:ind w:left="283"/>
      </w:pPr>
      <w:r>
        <w:rPr>
          <w:rFonts w:ascii="Calibri" w:hAnsi="Calibri"/>
          <w:b/>
          <w:color w:val="4A6B25"/>
          <w:sz w:val="20"/>
        </w:rPr>
        <w:t xml:space="preserve">2. </w:t>
      </w:r>
      <w:r>
        <w:rPr>
          <w:rFonts w:ascii="Calibri" w:hAnsi="Calibri"/>
          <w:b w:val="0"/>
          <w:color w:val="3A4A28"/>
          <w:sz w:val="20"/>
        </w:rPr>
        <w:t>No multi-year operating track record exists under the current business model — the company only began operating as Abundia in December 2025 following a reverse merger out of a dormant oil-and-gas shell — making it impossible to assess execution consistency [1][3]</w:t>
      </w:r>
    </w:p>
    <w:p>
      <w:pPr>
        <w:spacing w:before="40" w:after="40"/>
        <w:ind w:left="283"/>
      </w:pPr>
      <w:r>
        <w:rPr>
          <w:rFonts w:ascii="Calibri" w:hAnsi="Calibri"/>
          <w:b/>
          <w:color w:val="4A6B25"/>
          <w:sz w:val="20"/>
        </w:rPr>
        <w:t xml:space="preserve">3. </w:t>
      </w:r>
      <w:r>
        <w:rPr>
          <w:rFonts w:ascii="Calibri" w:hAnsi="Calibri"/>
          <w:b w:val="0"/>
          <w:color w:val="3A4A28"/>
          <w:sz w:val="20"/>
        </w:rPr>
        <w:t>The core waste-plastic-to-fuel technology will not generate revenue until the Phase 2 plant completes in 2029, leaving the investment thesis dependent on a distant, unproven commercial milestone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Abundia's business — physically converting waste plastics and biomass into fuels and chemicals through capital-intensive processing plants — is fundamentally immune to AI substitution; no software or AI tool can replace the physical chemistry and infrastructure required to produce renewable fuel [1]. If anything, rising AI data-center energy demand modestly increases the long-term addressable market for low-carbon fuel and power producers. AI Opportunity (0/1): No evidence of AI-related revenue or AI product deployment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Abundia Global Impact Group Q2 2026 Business Update and Shareholder Letter — GlobeNewswire, StockTitan, January/August 2026</w:t>
      </w:r>
    </w:p>
    <w:p>
      <w:pPr>
        <w:spacing w:before="20" w:after="20"/>
        <w:ind w:left="170"/>
      </w:pPr>
      <w:r>
        <w:rPr>
          <w:rFonts w:ascii="Calibri" w:hAnsi="Calibri"/>
          <w:b/>
          <w:color w:val="4A6B25"/>
          <w:sz w:val="15"/>
        </w:rPr>
        <w:t xml:space="preserve">2. </w:t>
      </w:r>
      <w:r>
        <w:rPr>
          <w:rFonts w:ascii="Calibri" w:hAnsi="Calibri"/>
          <w:b w:val="0"/>
          <w:color w:val="3A4A28"/>
          <w:sz w:val="17"/>
        </w:rPr>
        <w:t>Abundia Global Impact Group Leadership Team — abundiaimpact.com,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Abundia Global Impact Group / Houston American Energy Corp Merger and NYSE American Listing — GlobeNewswire, Barchart, December 2025</w:t>
      </w:r>
    </w:p>
    <w:p>
      <w:pPr>
        <w:spacing w:before="20" w:after="20"/>
        <w:ind w:left="170"/>
      </w:pPr>
      <w:r>
        <w:rPr>
          <w:rFonts w:ascii="Calibri" w:hAnsi="Calibri"/>
          <w:b/>
          <w:color w:val="4A6B25"/>
          <w:sz w:val="15"/>
        </w:rPr>
        <w:t xml:space="preserve">4. </w:t>
      </w:r>
      <w:r>
        <w:rPr>
          <w:rFonts w:ascii="Calibri" w:hAnsi="Calibri"/>
          <w:b w:val="0"/>
          <w:color w:val="3A4A28"/>
          <w:sz w:val="17"/>
        </w:rPr>
        <w:t>yfinance — AGIG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