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AGIO</w:t>
      </w:r>
      <w:r>
        <w:rPr>
          <w:rFonts w:ascii="Calibri" w:hAnsi="Calibri"/>
          <w:b/>
          <w:color w:val="1A2010"/>
          <w:sz w:val="40"/>
        </w:rPr>
        <w:t xml:space="preserve">  Agios Pharmaceuticals, Inc.</w:t>
      </w:r>
    </w:p>
    <w:p>
      <w:pPr>
        <w:spacing w:after="120"/>
      </w:pPr>
      <w:r>
        <w:rPr>
          <w:rFonts w:ascii="Calibri" w:hAnsi="Calibri"/>
          <w:b/>
          <w:color w:val="6E8450"/>
          <w:sz w:val="18"/>
        </w:rPr>
        <w:t>GROWTH SLEEVE · 2026-09-30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Agios Pharmaceuticals is a biopharmaceutical company focused on genetically defined diseases through the science of cellular metabolism. The company's lead product mitapivat (marketed as PYRUKYND for PK deficiency and AQVESME for thalassemia) is the first and only approved pyruvate kinase activator. Agios divested its oncology business to Servier in 2021 for ~$2B to focus exclusively on rare hematologic diseases. CEO Brian Goff leads 539 employees from Cambridge, Massachusetts. Pipeline includes mitapivat for sickle cell disease (PDUFA November 1, 2026), tebapivat for MDS, AG-181 for PKU, and AG-236 for polycythemia vera. Q2 2026 revenue of $44.7M crushed the $26.03M estimate by 72%.</w:t>
      </w:r>
    </w:p>
    <w:p>
      <w:r>
        <w:rPr>
          <w:rFonts w:ascii="Calibri" w:hAnsi="Calibri"/>
          <w:b/>
          <w:color w:val="6E8450"/>
          <w:sz w:val="18"/>
        </w:rPr>
        <w:t>539 Employees · https://www.agios.com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Agios executed a transformative corporate pivot in 2021, divesting its entire oncology portfolio to Servier for ~$2B and refocusing exclusively on rare hematologic diseases — a bet now paying off with two successful product launches [1][2]. PYRUKYND became the first-ever approved PKR activator for PK deficiency (2022), and AQVESME launched for thalassemia in 2025-2026, driving Q2 2026 revenue of $44.7M (+258% YoY) that crushed the $26.03M analyst estimate by 72% [1]. AI Deployment (0/2): No evidence of AI-powered products or quantified AI-driven cost savings. Drug development uses computational biology tools but no specific AI deployment cited. Market Share (2/2): Mitapivat is the first and only approved pyruvate kinase activator globally — 100% market share in the PKR activator category for both PK deficiency and thalassemia [1]. 442 cumulative REMS-certified prescriptions for AQVESME as of Q2 2026 with 200 new prescriptions in Q2 alone [1]. Product Pipeline (2/2): Exceptionally strong pipeline with specific regulatory timelines — mitapivat sNDA for sickle cell disease with priority review PDUFA date of November 1, 2026 [1]; tebapivat Phase II-B data for lower-risk MDS; AG-181 for PKU; AG-236 (siRNA from Alnylam) for polycythemia vera [2]. R&amp;D Intensity (1/1): R&amp;D spending of $100.8M in Q2 2026 against $44.7M revenue represents R&amp;D intensity of 225% of revenue, dramatically above biopharma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Agios's mission to 'connect the science of cellular metabolism to transform the lives of patients with rare diseases' is specific, patient-centered, and distinctively differentiated from generic pharma missions [3]. The company validated this mission by divesting a profitable $2B oncology business to focus exclusively on underserved rare disease patients — a strategic sacrifice that proves the mission shapes capital allocation. CEO Brian Goff was specifically appointed for rare disease expertise. Community Impact (1/2): Agios publishes ESG reports since 2020 aligned with UN SDGs and SASB frameworks, with stated commitments to increasing medicine access, health equity, and STEM education [3]. Patient-centered approach is distinctive among mid-cap biotechs. However, specific charitable dollar amounts and distinctive community programs beyond corporate reporting were not cited. Employee Retention (1/2): Small team of ~539 employees with focused mission emphasizing 'outstanding science, great culture, and focused execution.' Glassdoor reviews praise CEO Goff and cite passion flowing from leadership, with an 'inclusive and collaborative' culture [4]. However, some reviews note a 'highly reactive work environment' typical of pre-profitability biotechs. Insider Buying (0/2): No meaningful net insider buying data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reflecting the pre-profitability reality of a clinical-stage biotech commercializing its first products. D/E of 3.0% is exceptionally strong — minimal debt against a $1B+ cash position providing &gt;3 years of runway at current burn rate, scoring perfectly against the 70% target [5]. Revenue growth of 259% YoY demonstrates explosive commercial execution with the AQVESME thalassemia launch driving TTM revenue to $98.3M [1]. However, ROE of -34.3% (below the 0% floor), profit margin of ~0% (per yfinance; actual net losses of ~$100M/quarter), and Forward P/E of -8.42 (negative earnings) all score 0.0 in the mechanical framework [5]. Forward PEG is unavailable. The infrastructure score reflects that Agios remains deeply unprofitable with approximately $90M+ quarterly cash burn despite strong revenue acceleration. Liquidity is ample: $33.30 x 1.06M daily volume = $35M.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Agios demonstrates several hallmarks of infinite play — most notably the courageous decision to divest a $2B oncology business to focus exclusively on rare diseases, sacrificing near-term scale for long-term purpose alignment. The patient-centered culture and mission-driven strategic decisions reflect genuine Just Cause thinking. CEO Brian Goff's rare disease expertise and focused vision strengthen the narrative. However, the company is relatively young in its current form (post-2021 pivot) and has not yet been tested through extended market cycles or leadership transitions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Agios's cause — connecting cellular metabolism science to transform lives of patients with rare diseases — is genuine and distinctively validated by the $2B oncology divestiture, proving leadership will sacrifice profitable businesses to advance the cause [1][2]. The mission is patient-centered, specific to rare diseases, and shapes strategic decisions including pipeline prioritization and commercial sequencing. CEO Brian Goff was hired specifically for rare disease expertise, embedding the cause in leadership selection. However, the post-pivot history (since 2021) is too short to demonstrate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describe an 'inclusive and collaborative' culture where 'CEO is fantastic' and 'passion flows from the top down' [4]. The small team (~539 employees) with a focused rare disease mission suggests cohesion. The company emphasizes 'outstanding science, great culture, and focused execution' as foundations. However, reviews also note a 'highly reactive work environment' with 'frequent shifts in priorities' suggesting organizational stability challenges typical of pre-profitability biotechs navigating critical regulatory milestones.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Limited evidence of infinite competitive mindset. Agios operates in first-in-class rare disease categories with minimal direct competition for PKR activators, reducing opportunities for worthy rival thinking. Competitive commentary focuses on clinical differentiation and regulatory moats rather than learning from competitors' strengths [1]. The near-monopoly position in its mechanism category makes worthy rival assessment difficult.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2021 oncology divestiture is a textbook example of existential flexibility — Agios fundamentally reinvented itself by abandoning its original therapeutic area (oncology was the founding focus with ivosidenib for AML and cholangiocarcinoma) to become a rare hematology company [2]. The pivot was driven by mission alignment, not desperation — the oncology business was generating revenue and had FDA-approved products. Rebuilding commercial capabilities, refocusing the pipeline, and accepting a dramatically smaller addressable market in service of the company's deeper purpose is precisely what Sinek describes.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divestiture of the entire oncology business to Servier for ~$2B in 2021 stands as one of the most courageous strategic decisions in recent biotech history — walking away from an established, revenue-generating therapeutic area (including FDA-approved ivosidenib) to focus exclusively on rare hematologic diseases with smaller patient populations and higher commercial risk [2]. This directly sacrificed near-term revenue and scale for long-term mission alignment. R&amp;D investment of $100.8M/quarter despite ongoing net losses of $100.7M/quarter further demonstrates willingness to prioritize long-term capability over short-term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Agios is executing a textbook rare disease commercialization with accelerating momentum — Q2 2026 mitapivat revenue of $44.7M ($40.9M US, $3.8M international) crushed the $26.03M analyst estimate and brought H1 2026 revenue to $65.5M, already exceeding full-year 2025 revenue [1]. Revenue growth of 259% YoY demonstrates the AQVESME thalassemia launch is driving exponential commercial expansion. The transformative catalyst is the November 1, 2026 PDUFA date for mitapivat in sickle cell disease, which affects ~100,000 patients in the US vs. ~3,000-8,000 for PK deficiency — a potential 10x+ addressable market expansion [1][2]. With $1B+ cash, only ~$31M debt (D/E 3%), and a pipeline spanning tebapivat (MDS), AG-181 (PKU), AG-236 (polycythemia vera), Agios has clinical validation, financial fortress, and optionality. Inspire Impact Score of 35 (ALIGNED) supports faith-based allocation.</w:t>
      </w:r>
    </w:p>
    <w:p>
      <w:pPr>
        <w:spacing w:after="120"/>
      </w:pPr>
      <w:r>
        <w:rPr>
          <w:rFonts w:ascii="Calibri" w:hAnsi="Calibri"/>
          <w:b w:val="0"/>
          <w:color w:val="3A4A28"/>
          <w:sz w:val="20"/>
        </w:rPr>
        <w:t>The bear case centers on binary regulatory risk and pre-profitability economics. Q2 2026 net loss of $100.7M on $44.7M revenue reflects a company still years from profitability despite explosive revenue growth [1][5]. R&amp;D spending of $100.8M/quarter means Agios burns ~$90M+ per quarter in cash, giving roughly 3 years of runway — enough to reach profitability only if sickle cell disease approval and launch succeed. If the November 2026 PDUFA results in a Complete Response Letter, the stock faces severe downside as the SCD opportunity represents the majority of the bull case valuation. ROE of -34.3%, negative Forward P/E (-8.42x), and $2.0B market cap on $98M TTM revenue (20x sales) reflect premium biotech pricing dependent on pipeline execution. Early thalassemia patient cohorts reaching six-month evaluation in H2 2026 could reveal discontinuation rates that undermine AQVESME's long-term trajectory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November 1, 2026 PDUFA date for mitapivat in sickle cell disease — priority review designation for a ~100,000 US patient population could 10x+ the addressable market and fundamentally re-rate the stock [1][2]</w:t>
      </w:r>
    </w:p>
    <w:p>
      <w:pPr>
        <w:spacing w:before="40" w:after="40"/>
        <w:ind w:left="283"/>
      </w:pPr>
      <w:r>
        <w:rPr>
          <w:rFonts w:ascii="Calibri" w:hAnsi="Calibri"/>
          <w:b/>
          <w:color w:val="4A6B25"/>
          <w:sz w:val="20"/>
        </w:rPr>
        <w:t xml:space="preserve">2. </w:t>
      </w:r>
      <w:r>
        <w:rPr>
          <w:rFonts w:ascii="Calibri" w:hAnsi="Calibri"/>
          <w:b w:val="0"/>
          <w:color w:val="3A4A28"/>
          <w:sz w:val="20"/>
        </w:rPr>
        <w:t>AQVESME thalassemia launch acceleration with 200 new prescriptions in Q2 2026 alone (442 cumulative), driving Q2 revenue to $44.7M and establishing Agios as the definitive PKR activator franchise [1]</w:t>
      </w:r>
    </w:p>
    <w:p>
      <w:pPr>
        <w:spacing w:before="40" w:after="40"/>
        <w:ind w:left="283"/>
      </w:pPr>
      <w:r>
        <w:rPr>
          <w:rFonts w:ascii="Calibri" w:hAnsi="Calibri"/>
          <w:b/>
          <w:color w:val="4A6B25"/>
          <w:sz w:val="20"/>
        </w:rPr>
        <w:t xml:space="preserve">3. </w:t>
      </w:r>
      <w:r>
        <w:rPr>
          <w:rFonts w:ascii="Calibri" w:hAnsi="Calibri"/>
          <w:b w:val="0"/>
          <w:color w:val="3A4A28"/>
          <w:sz w:val="20"/>
        </w:rPr>
        <w:t>Tebapivat Phase II-B data for lower-risk MDS and pipeline advancement in AG-236 (polycythemia vera) provide next-generation de-risking and extended commercial lifecycle beyond mitapivat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regulatory risk on the November 1, 2026 sickle cell disease PDUFA — a Complete Response Letter would eliminate the largest portion of the bull case and could halve the stock, given SCD represents the majority of the addressable market expansion [1]</w:t>
      </w:r>
    </w:p>
    <w:p>
      <w:pPr>
        <w:spacing w:before="40" w:after="40"/>
        <w:ind w:left="283"/>
      </w:pPr>
      <w:r>
        <w:rPr>
          <w:rFonts w:ascii="Calibri" w:hAnsi="Calibri"/>
          <w:b/>
          <w:color w:val="4A6B25"/>
          <w:sz w:val="20"/>
        </w:rPr>
        <w:t xml:space="preserve">2. </w:t>
      </w:r>
      <w:r>
        <w:rPr>
          <w:rFonts w:ascii="Calibri" w:hAnsi="Calibri"/>
          <w:b w:val="0"/>
          <w:color w:val="3A4A28"/>
          <w:sz w:val="20"/>
        </w:rPr>
        <w:t>Quarterly cash burn of ~$90M+ limits runway to ~3 years, creating dilution or financing risk if sickle cell launch underperforms or pipeline setbacks extend the path to profitability [5]</w:t>
      </w:r>
    </w:p>
    <w:p>
      <w:pPr>
        <w:spacing w:before="40" w:after="40"/>
        <w:ind w:left="283"/>
      </w:pPr>
      <w:r>
        <w:rPr>
          <w:rFonts w:ascii="Calibri" w:hAnsi="Calibri"/>
          <w:b/>
          <w:color w:val="4A6B25"/>
          <w:sz w:val="20"/>
        </w:rPr>
        <w:t xml:space="preserve">3. </w:t>
      </w:r>
      <w:r>
        <w:rPr>
          <w:rFonts w:ascii="Calibri" w:hAnsi="Calibri"/>
          <w:b w:val="0"/>
          <w:color w:val="3A4A28"/>
          <w:sz w:val="20"/>
        </w:rPr>
        <w:t>Early thalassemia patient cohorts reaching six-month evaluation in H2 2026 could reveal discontinuation rates that undermine AQVESME's long-term revenue trajectory and the 442-prescription commercial momentum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Agios's core business is structurally immune to AI disruption. Drug development requires physical clinical trials with real patients, FDA regulatory approval processes, REMS-certified distribution programs, and GMP pharmaceutical manufacturing — none of which AI can substitute [1]. Rare disease focus adds further protection: orphan drug designations, REMS certification requirements, and small patient populations (PK deficiency affects ~3,000-8,000 in the US) create regulatory and commercial moats AI cannot replicate. Mitapivat's first-in-class PKR activator mechanism was validated through years of clinical data, not computational shortcuts. AI may accelerate early-stage drug discovery but cannot replace the 10+ year regulatory pathway Agios has navigated. AI Opportunity (0/1): No quantifiable AI-related revenue. Computational biology tools may support drug discovery pipeline, but the company does not generate revenue from AI products or report AI-driven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Agios Pharmaceuticals Q2 2026 Financial Results — Revenue $44.7M (+258% YoY), beat $26.03M estimate, net loss $100.7M, AQVESME 442 cumulative Rx, GlobeNewsWire/ChartMill, July 30, 2026</w:t>
      </w:r>
    </w:p>
    <w:p>
      <w:pPr>
        <w:spacing w:before="20" w:after="20"/>
        <w:ind w:left="170"/>
      </w:pPr>
      <w:r>
        <w:rPr>
          <w:rFonts w:ascii="Calibri" w:hAnsi="Calibri"/>
          <w:b/>
          <w:color w:val="4A6B25"/>
          <w:sz w:val="15"/>
        </w:rPr>
        <w:t xml:space="preserve">2. </w:t>
      </w:r>
      <w:r>
        <w:rPr>
          <w:rFonts w:ascii="Calibri" w:hAnsi="Calibri"/>
          <w:b w:val="0"/>
          <w:color w:val="3A4A28"/>
          <w:sz w:val="17"/>
        </w:rPr>
        <w:t>Agios Pharmaceuticals Pipeline and Corporate Strategy — Mitapivat SCD PDUFA Nov 1 2026, oncology divestiture to Servier ~$2B, tebapivat/AG-236 pipeline, investor.agios.com, 2021-2026</w:t>
      </w:r>
    </w:p>
    <w:p>
      <w:pPr>
        <w:spacing w:before="20" w:after="20"/>
        <w:ind w:left="170"/>
      </w:pPr>
      <w:r>
        <w:rPr>
          <w:rFonts w:ascii="Calibri" w:hAnsi="Calibri"/>
          <w:b/>
          <w:color w:val="4A6B25"/>
          <w:sz w:val="15"/>
        </w:rPr>
        <w:t xml:space="preserve">3. </w:t>
      </w:r>
      <w:r>
        <w:rPr>
          <w:rFonts w:ascii="Calibri" w:hAnsi="Calibri"/>
          <w:b w:val="0"/>
          <w:color w:val="3A4A28"/>
          <w:sz w:val="17"/>
        </w:rPr>
        <w:t>Agios Pharmaceuticals ESG Reports — UN SDG alignment, SASB standards, medicine access programs, health equity, agios.com, 2020-2025</w:t>
      </w:r>
    </w:p>
    <w:p>
      <w:pPr>
        <w:spacing w:before="20" w:after="20"/>
        <w:ind w:left="170"/>
      </w:pPr>
      <w:r>
        <w:rPr>
          <w:rFonts w:ascii="Calibri" w:hAnsi="Calibri"/>
          <w:b/>
          <w:color w:val="4A6B25"/>
          <w:sz w:val="15"/>
        </w:rPr>
        <w:t xml:space="preserve">4. </w:t>
      </w:r>
      <w:r>
        <w:rPr>
          <w:rFonts w:ascii="Calibri" w:hAnsi="Calibri"/>
          <w:b w:val="0"/>
          <w:color w:val="3A4A28"/>
          <w:sz w:val="17"/>
        </w:rPr>
        <w:t>Glassdoor — Agios Pharmaceuticals Employee Reviews: CEO praised, collaborative culture, 'highly reactive' environment,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AGIO Key Statistics: Price $33.30, Forward P/E -8.42, D/E 3.04%, ROE -34.34%, Market Cap $2.0B, TTM Revenue $98.3M,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