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AGL</w:t>
      </w:r>
      <w:r>
        <w:rPr>
          <w:rFonts w:ascii="Calibri" w:hAnsi="Calibri"/>
          <w:b/>
          <w:color w:val="1A2010"/>
          <w:sz w:val="40"/>
        </w:rPr>
        <w:t xml:space="preserve">  agilon health, inc.</w:t>
      </w:r>
    </w:p>
    <w:p>
      <w:pPr>
        <w:spacing w:after="120"/>
      </w:pPr>
      <w:r>
        <w:rPr>
          <w:rFonts w:ascii="Calibri" w:hAnsi="Calibri"/>
          <w:b/>
          <w:color w:val="6E8450"/>
          <w:sz w:val="18"/>
        </w:rPr>
        <w:t>GROWTH SLEEVE · 2026-10-15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agilon health operates a technology-enabled value-based care platform that empowers community-based physicians to transition to a total-care delivery model for senior patients. Through long-term partnerships with primary care physician groups, agilon assumes global risk capitation contracts with Medicare Advantage payers and ACO models, providing technology, analytics, capital investment, and clinical program support. As of Q2 2026, agilon serves approximately 437,000 Medicare Advantage members and 112,000 ACO REACH members (549,000 total). The company appointed Tim O'Rourke as CEO in May 2026 and raised FY2026 revenue guidance to $5.775-5.86B with adjusted EBITDA of $75-95M following sustained profitability in H1 2026. Q2 2026 revenue was $1.49B (+7% YoY) with adjusted EBITDA of $70M (vs. -$83M prior year).</w:t>
      </w:r>
    </w:p>
    <w:p>
      <w:r>
        <w:rPr>
          <w:rFonts w:ascii="Calibri" w:hAnsi="Calibri"/>
          <w:b/>
          <w:color w:val="6E8450"/>
          <w:sz w:val="18"/>
        </w:rPr>
        <w:t>1,500 Employees · https://www.agilonhealth.com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agilon expanded from 7 to 26 markets and grew revenue from under $1B to over $6B between 2021 and 2024, but the core Total Care Model has remained fundamentally unchanged since founding — no major product pivots or new business model launches in the last five years [1][2]. The company is now contracting, having exited structurally unprofitable contracts and reduced membership 12% to ~437K MA members [3]. AI Deployment (1/2): agilon partnered with Navina to deploy AI-driven clinical insights at the point of care, integrating structured and unstructured patient data into physician workflows through Navina's AI platform [6]. The technology is actively deployed but no specific AI-driven cost savings or revenue attribution has been quantified publicly. Market Share (1/2): agilon is a meaningful player in value-based primary care for Medicare seniors with ~537K total members and $5.8B+ in managed revenue, but membership is declining and the company is not gaining share — larger competitors include Optum Health, CVS/Oak Street Health, and ChenMed [3]. Product Pipeline (0/2): Expanded clinical pathways including heart failure programs and early disease detection, but no specific next-generation products announced with timelines or revenue visibility. R&amp;D Intensity (0/1): Capital expenditures of ~$13M on ~$5.8B revenue (~0.2%) is well below healthcare industry averages, reflecting the asset-light platform model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agilon's mission — 'to be the trusted, long-term partner of community-based physicians as they reimagine the care delivery experience for older adults' — is clear, identifies both the beneficiary (seniors) and the mechanism (physician empowerment), and differentiates from generic healthcare companies [7]. However, it has not been proven across decades or leadership transitions; the company is only 10 years old and undergoing its second CEO transition. Community Impact (1/2): agilon released an inaugural ESG report with its 'Total Care, Healthier Communities' impact strategy, highlighting community health outcomes across its markets, but no specific dollar amounts for charitable giving or distinctive foundation programs were cited [8]. Employee Retention (1/2): agilon health is Great Place to Work certified and employees report positive team culture [9]. However, the CEO transition — Steven Sell departing, Ronald Williams serving as interim Executive Chairman, Tim O'Rourke appointed CEO May 2026 — signals leadership instability, and Glassdoor reviews describe layoffs handled with 'complete lack of empathy' and a 'revolving door' culture. Insider Buying (1/2): Chief Markets Officer Benjamin Shaker made a meaningful open-market purchase of 500,000 shares (pre-split) at $0.60/share in March 2026, signaling insider conviction during the turnaround period, but this was a single executive rather than broad-based buying [10].</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Balance sheet is a clear strength: D/E of 14.7% with $303M cash against only $32M total debt provides substantial financial flexibility for the turnaround (score 1.0) [2][4]. Five-year revenue CAGR of ~37% (score 1.0, 2x weight) reflects explosive historical growth from the 2021 IPO base, though decelerating sharply. Revenue growth YoY improved to 7.2% in Q2 2026 (score 0.91) as better rates and payer contracting offset membership declines [3]. Forward P/E of 37.01 is above the 20x target but within scoring range (score 0.57), reflecting the company's early-stage transition to profitability. TTM ROE of -78.9% and TTM profit margin of -3.9% both score 0.0, reflecting accumulated losses from H2 2025, though Q1 2026 net income of $49M and Q2 2026 net income of $18M mark a sustained return to profitability [2][3]. Weighted sum: 4.48/8.0, score = 6. Daily dollar volume of approximately $25M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agilon health operates with a genuine healthcare mission but lacks the organizational maturity and leadership continuity to score as an infinite game player. Founded in 2016 and public since 2021, the company has not yet proven its purpose through adversity or multi-decade consistency. The CEO transition — from founder Steven Sell to interim Executive Chairman Ronald Williams to new CEO Tim O'Rourke in just 10 months — reveals a company in survival mode, not one playing an infinite game. The decision to exit unprofitable contracts shows pragmatic discipline, but the underlying failures (medical cost overruns, unprofitable growth) suggest the company previously prioritized scale over sustainability.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agilon's purpose — empowering community physicians to transform care for seniors — connects the company's work to a meaningful healthcare outcome and differentiates from pure-play insurance or hospital models [7]. However, this cause has not been tested through multi-decade execution; the company has spent the last two years unwinding the consequences of a growth-at-all-costs strategy that contradicted the stated mission. Sinek would note that a company exiting unprofitable contracts it should never have signed was playing a finite growth game, not advancing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agilon is Great Place to Work certified and employees describe a collaborative, responsive culture [9]. However, the CEO transition — three leaders in 10 months (Sell, Williams interim, O'Rourke) — creates organizational instability that undermines trust at the leadership level. Glassdoor reviews describe layoffs conducted through 'ambush meetings,' a culture that 'drops the #oneteam motto at the first sign of trouble,' and 'frequent organizational changes' that undermine psychological safety. The combination of GPTW certification and negative reviews suggests a culture in transition.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agilon's leadership acknowledging competitors' strengths or framing competition as motivation for self-improvement. Competitive language focuses on being 'the partner of choice' for physicians — positioning that emphasizes winning partnerships rather than learning from rivals like Oak Street Health (CVS), ChenMed, or Optum's value-based care platforms.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agilon's strategic pivot from growth-at-all-costs to profitability-first represents meaningful adaptation — the company deliberately exited unprofitable contracts, reduced membership 12% YoY, trimmed Medicare Part D exposure, and restructured contracting to improve unit economics, with medical margins reaching $197M in Q2 2026 (+16% YoY) [3]. However, this pivot was driven by financial necessity (FY2025 EBITDA loss) rather than proactive strategic vision — making it incremental adaptation rather than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exit structurally unprofitable contracts and accept a 12% membership decline demonstrates willingness to sacrifice near-term revenue for long-term sustainability [2][3]. Q2 2026 medical margin of $197M and raised EBITDA guidance to $85M validate this approach. However, these decisions came after the company had already lost hundreds of millions — the courage was reactive (fixing mistakes) rather than proactive (investing in the future against short-term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agilon health's turnaround is accelerating with H1 2026 demonstrating sustained profitability — Q1 net income of $49M (EPS $2.94) and Q2 net income of $18M (EPS $1.04) mark the company's first consecutive profitable quarters since IPO [2][3]. Q2 2026 medical margin of $197M (+16% YoY) and raised FY2026 guidance to $5.78-5.86B revenue and $85M adjusted EBITDA midpoint validate the strategic shift from growth-at-all-costs to sustainable unit economics [3]. The pristine balance sheet ($303M cash vs $32M debt, D/E 14.7%) provides operational runway, and Wells Fargo's decision to double its price target to $141 from $72 signals institutional recognition of the improving trajectory [5]. The value-based care model benefits from structural tailwinds as CMS continues expanding Medicare Advantage and ACO programs, and agilon's physician partnership platform creates meaningful switching costs once integrated into practice workflows.</w:t>
      </w:r>
    </w:p>
    <w:p>
      <w:pPr>
        <w:spacing w:after="120"/>
      </w:pPr>
      <w:r>
        <w:rPr>
          <w:rFonts w:ascii="Calibri" w:hAnsi="Calibri"/>
          <w:b w:val="0"/>
          <w:color w:val="3A4A28"/>
          <w:sz w:val="20"/>
        </w:rPr>
        <w:t>The bear case centers on membership decline, leadership uncertainty, and execution risk. Total membership fell to 549,000 (MA membership at 437,000, down ~12% YoY) and the company must prove it can reignite profitable growth rather than just cut its way to positive EBITDA [2][3]. The CEO transition to Tim O'Rourke — the third leader in 10 months after founder Sell and interim chairman Williams — introduces strategic uncertainty at a critical inflection point [5]. TTM ROE of -78.9% and profit margin of -3.9% reflect that profitability is nascent and unproven across a full annual cycle [4]. Citron Research issued a short thesis arguing the Supreme Court's Medicare Advantage risk adjustment ruling torpedoed agilon's business model, and Citi downgraded the stock to Sell citing valuation risk and payer margin retention heading into 2027. The stock required a 1-for-25 reverse split to maintain NYSE listing compliance, and while shares have rallied on turnaround momentum, a reversal in medical margins from utilization spikes, flu severity, or V28 risk adjustment changes could erase fragile gains [11].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H2 2026 profitability demonstrating medical margin above $350M full-year guidance, validating that contract exits and clinical programs produce durable unit economics across seasonal variation [3]</w:t>
      </w:r>
    </w:p>
    <w:p>
      <w:pPr>
        <w:spacing w:before="40" w:after="40"/>
        <w:ind w:left="283"/>
      </w:pPr>
      <w:r>
        <w:rPr>
          <w:rFonts w:ascii="Calibri" w:hAnsi="Calibri"/>
          <w:b/>
          <w:color w:val="4A6B25"/>
          <w:sz w:val="20"/>
        </w:rPr>
        <w:t xml:space="preserve">2. </w:t>
      </w:r>
      <w:r>
        <w:rPr>
          <w:rFonts w:ascii="Calibri" w:hAnsi="Calibri"/>
          <w:b w:val="0"/>
          <w:color w:val="3A4A28"/>
          <w:sz w:val="20"/>
        </w:rPr>
        <w:t>New CEO Tim O'Rourke establishing strategic credibility with a clear multi-year plan for returning to profitable membership growth, potentially unlocking re-rating from turnaround to growth story [5]</w:t>
      </w:r>
    </w:p>
    <w:p>
      <w:pPr>
        <w:spacing w:before="40" w:after="40"/>
        <w:ind w:left="283"/>
      </w:pPr>
      <w:r>
        <w:rPr>
          <w:rFonts w:ascii="Calibri" w:hAnsi="Calibri"/>
          <w:b/>
          <w:color w:val="4A6B25"/>
          <w:sz w:val="20"/>
        </w:rPr>
        <w:t xml:space="preserve">3. </w:t>
      </w:r>
      <w:r>
        <w:rPr>
          <w:rFonts w:ascii="Calibri" w:hAnsi="Calibri"/>
          <w:b w:val="0"/>
          <w:color w:val="3A4A28"/>
          <w:sz w:val="20"/>
        </w:rPr>
        <w:t>Expansion of ACO REACH model (currently 110,000 beneficiaries) as a diversification lever beyond Medicare Advantage dependence, with lower risk profile and growing CMS support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FY2025's $296M EBITDA loss demonstrates the fragility of the global risk capitation model — a single year of elevated medical costs or adverse coding adjustments can produce catastrophic losses on thin margins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three CEOs in 10 months (Sell, Williams interim, O'Rourke) during a critical turnaround creates execution risk and potential strategic inconsistency [5]</w:t>
      </w:r>
    </w:p>
    <w:p>
      <w:pPr>
        <w:spacing w:before="40" w:after="40"/>
        <w:ind w:left="283"/>
      </w:pPr>
      <w:r>
        <w:rPr>
          <w:rFonts w:ascii="Calibri" w:hAnsi="Calibri"/>
          <w:b/>
          <w:color w:val="4A6B25"/>
          <w:sz w:val="20"/>
        </w:rPr>
        <w:t xml:space="preserve">3. </w:t>
      </w:r>
      <w:r>
        <w:rPr>
          <w:rFonts w:ascii="Calibri" w:hAnsi="Calibri"/>
          <w:b w:val="0"/>
          <w:color w:val="3A4A28"/>
          <w:sz w:val="20"/>
        </w:rPr>
        <w:t>Medicare Advantage membership continues declining (-12% YoY to ~437K) with no clear floor, and physician partner defections to competing platforms could accelerate the decline beyond management's control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agilon's core value proposition — long-term physician partnerships with global risk capitation contracts under Medicare Advantage — is protected by deep regulatory complexity (CMS compliance, risk adjustment, quality reporting), sticky multi-year physician group relationships, and the irreplaceable nature of physician-patient care delivery [1][7]. AI cannot substitute for physical examinations, chronic disease management, or the trust-based physician relationships that form agilon's competitive moat. However, agilon's platform layer — data analytics, care coordination technology, and population health management tools — faces competitive exposure from AI-native entrants and large payer/provider systems deploying AI-driven care management platforms. AI Opportunity (0/1): The Navina AI partnership provides clinical insights at point of care, but no quantifiable AI-generated revenue has been reported — AI capabilities are embedded in the platform offering rather than separately monetized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agilon health Fourth Quarter and Full Year Fiscal 2025 Results — BusinessWire,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agilon health First Quarter 2026 Results — Revenue $1.42B (-7% YoY), Net Income $49M, EPS $2.94, Adjusted EBITDA $54M (+157%),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agilon health Second Quarter 2026 Results — Revenue $1.49B (+7% YoY), Net Income $17.96M, Medical Margin $197M, Raised FY2026 Guidance,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AGL Key Statistics: Stock Price $87.40, Market Cap $1.47B, Forward P/E 37.01, D/E 14.7%, ROE -78.9%, Profit Margin -3.9%,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agilon health Leadership Transition — Tim O'Rourke Appointed CEO May 2026; Wells Fargo PT Doubled to $141, August 2026</w:t>
      </w:r>
    </w:p>
    <w:p>
      <w:pPr>
        <w:spacing w:before="20" w:after="20"/>
        <w:ind w:left="170"/>
      </w:pPr>
      <w:r>
        <w:rPr>
          <w:rFonts w:ascii="Calibri" w:hAnsi="Calibri"/>
          <w:b/>
          <w:color w:val="4A6B25"/>
          <w:sz w:val="15"/>
        </w:rPr>
        <w:t xml:space="preserve">6. </w:t>
      </w:r>
      <w:r>
        <w:rPr>
          <w:rFonts w:ascii="Calibri" w:hAnsi="Calibri"/>
          <w:b w:val="0"/>
          <w:color w:val="3A4A28"/>
          <w:sz w:val="17"/>
        </w:rPr>
        <w:t>Fierce Healthcare — Navina and agilon health AI Partnership for Clinical Insights in Value-Based Care, 2025</w:t>
      </w:r>
    </w:p>
    <w:p>
      <w:pPr>
        <w:spacing w:before="20" w:after="20"/>
        <w:ind w:left="170"/>
      </w:pPr>
      <w:r>
        <w:rPr>
          <w:rFonts w:ascii="Calibri" w:hAnsi="Calibri"/>
          <w:b/>
          <w:color w:val="4A6B25"/>
          <w:sz w:val="15"/>
        </w:rPr>
        <w:t xml:space="preserve">7. </w:t>
      </w:r>
      <w:r>
        <w:rPr>
          <w:rFonts w:ascii="Calibri" w:hAnsi="Calibri"/>
          <w:b w:val="0"/>
          <w:color w:val="3A4A28"/>
          <w:sz w:val="17"/>
        </w:rPr>
        <w:t>agilon health Corporate Website — Mission, Vision, Leadership Page,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agilon health Inaugural ESG Impact Report — Total Care, Healthier Communities Strategy, August 2022</w:t>
      </w:r>
    </w:p>
    <w:p>
      <w:pPr>
        <w:spacing w:before="20" w:after="20"/>
        <w:ind w:left="170"/>
      </w:pPr>
      <w:r>
        <w:rPr>
          <w:rFonts w:ascii="Calibri" w:hAnsi="Calibri"/>
          <w:b/>
          <w:color w:val="4A6B25"/>
          <w:sz w:val="15"/>
        </w:rPr>
        <w:t xml:space="preserve">9. </w:t>
      </w:r>
      <w:r>
        <w:rPr>
          <w:rFonts w:ascii="Calibri" w:hAnsi="Calibri"/>
          <w:b w:val="0"/>
          <w:color w:val="3A4A28"/>
          <w:sz w:val="17"/>
        </w:rPr>
        <w:t>Great Place to Work — agilon health Certification Page, accessed August 2026</w:t>
      </w:r>
    </w:p>
    <w:p>
      <w:pPr>
        <w:spacing w:before="20" w:after="20"/>
        <w:ind w:left="170"/>
      </w:pPr>
      <w:r>
        <w:rPr>
          <w:rFonts w:ascii="Calibri" w:hAnsi="Calibri"/>
          <w:b/>
          <w:color w:val="4A6B25"/>
          <w:sz w:val="15"/>
        </w:rPr>
        <w:t xml:space="preserve">10. </w:t>
      </w:r>
      <w:r>
        <w:rPr>
          <w:rFonts w:ascii="Calibri" w:hAnsi="Calibri"/>
          <w:b w:val="0"/>
          <w:color w:val="3A4A28"/>
          <w:sz w:val="17"/>
        </w:rPr>
        <w:t>SEC Form 4 — Benjamin Shaker Open Market Purchase, 500,000 shares at $0.60, March 2026</w:t>
      </w:r>
    </w:p>
    <w:p>
      <w:pPr>
        <w:spacing w:before="20" w:after="20"/>
        <w:ind w:left="170"/>
      </w:pPr>
      <w:r>
        <w:rPr>
          <w:rFonts w:ascii="Calibri" w:hAnsi="Calibri"/>
          <w:b/>
          <w:color w:val="4A6B25"/>
          <w:sz w:val="15"/>
        </w:rPr>
        <w:t xml:space="preserve">11. </w:t>
      </w:r>
      <w:r>
        <w:rPr>
          <w:rFonts w:ascii="Calibri" w:hAnsi="Calibri"/>
          <w:b w:val="0"/>
          <w:color w:val="3A4A28"/>
          <w:sz w:val="17"/>
        </w:rPr>
        <w:t>agilon health 1-for-25 Reverse Stock Split — SEC Form 8-K, March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