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AGMB</w:t>
      </w:r>
      <w:r>
        <w:rPr>
          <w:rFonts w:ascii="Calibri" w:hAnsi="Calibri"/>
          <w:b/>
          <w:color w:val="1A2010"/>
          <w:sz w:val="40"/>
        </w:rPr>
        <w:t xml:space="preserve">  AgomAb Therapeutics NV</w:t>
      </w:r>
    </w:p>
    <w:p>
      <w:pPr>
        <w:spacing w:after="120"/>
      </w:pPr>
      <w:r>
        <w:rPr>
          <w:rFonts w:ascii="Calibri" w:hAnsi="Calibri"/>
          <w:b/>
          <w:color w:val="6E8450"/>
          <w:sz w:val="18"/>
        </w:rPr>
        <w:t>GROWTH SLEEVE · 2026-10-08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Belgium</w:t>
      </w:r>
    </w:p>
    <w:p>
      <w:pPr>
        <w:spacing w:after="80"/>
      </w:pPr>
      <w:r>
        <w:rPr>
          <w:rFonts w:ascii="Calibri" w:hAnsi="Calibri"/>
          <w:b w:val="0"/>
          <w:color w:val="3A4A28"/>
          <w:sz w:val="20"/>
        </w:rPr>
        <w:t>AgomAb Therapeutics NV is a clinical-stage biopharmaceutical company developing disease-modifying therapeutics for fibro-inflammatory disorders. Lead candidate ontunisertib (AGMB-129) is a gut-restricted oral ALK5 inhibitor in Phase 2a for fibrostenosing Crohn's disease, with AGMB-447 (inhaled ALK5 inhibitor for IPF) in Phase 1b and AGMB-101 (MET agonist antibody for liver cirrhosis) in preclinical development. Founded in 2017 and headquartered in Antwerp, Belgium, AgomAb completed its Nasdaq IPO in February 2026 raising approximately $208M in gross proceeds. The company reported a FY2025 net loss of €62.5M with €116.5M in cash and investments, guiding a cash runway into H1 2029.</w:t>
      </w:r>
    </w:p>
    <w:p>
      <w:r>
        <w:rPr>
          <w:rFonts w:ascii="Calibri" w:hAnsi="Calibri"/>
          <w:b/>
          <w:color w:val="6E8450"/>
          <w:sz w:val="18"/>
        </w:rPr>
        <w:t>62 Employees · https://www.agomab.com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AgomAb expanded its platform beyond its original MET agonist biology by acquiring Origo Biopharma in 2021, adding the gut-restricted and inhaled ALK5 inhibitor programs (AGMB-129 and AGMB-447) that now constitute the lead pipeline [3]. This was a meaningful strategic extension but not yet validated commercially — no approved products or revenue streams have materialized. AI Deployment (0/2): No evidence of AI-powered products or AI-driven operational efficiencies; AgomAb operates as a traditional biotech R&amp;D organization with CRO-dependent clinical operations [1]. Market Share (0/2): Pre-revenue clinical-stage company with no commercial products on market. While fibrostenosing Crohn's disease has no approved disease-modifying therapies — positioning ontunisertib as potentially first-in-class — market share leadership cannot be claimed without an approved product [2]. Product Pipeline (2/2): Ontunisertib Phase 2a STENOVA data presented at ECCO'26 with Phase 2b initiation expected H2 2026 following positive FDA interactions on study design; AGMB-447 Phase 1b IPF cohort dosing underway with topline data expected H2 2026 and MHRA-endorsed Phase 2 PoC planned concurrently; AGMB-101 in preclinical for liver cirrhosis [1][2]. R&amp;D Intensity (1/1): As a clinical-stage biotech, R&amp;D spending of €48.9M constituted 79% of total operating expenses in FY2025, vastly exceeding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AgomAb's purpose — 'pioneer therapeutics that aim to resolve fibro-inflammation and restore organ function' with CEO Tim Knotnerus stating 'we are determined to improve the lives of patients with fibrotic diseases' — is clear and identifies the company's therapeutic focus, but remains undifferentiated from dozens of other clinical-stage biotechs pursuing unmet medical needs [2]. The mission describes what the company does rather than articulating a compelling vision of a transformed future for patients with fibrotic diseases. Community Impact (0/2): No evidence of charitable programs, foundation activity, or community investment beyond potential patient benefit from successful drug development; as a 62-employee pre-commercial company, community engagement capacity is limited [1]. Employee Retention (0/2): No publicly available data on voluntary turnover, average tenure, or employee sentiment. The leadership team shows reasonable stability — CEO Knotnerus since 2019, CMO Wiesel since 2021, CDO Sáez since 2023 — but no independent culture data exists [4]. Insider Buying (0/2): No evidence of meaningful net insider buying by CEO or executives in the past 12 months; the February 2026 IPO likely imposes lock-up restrictions on insider transactions, and no insider purchase data was found in public filings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most financial metrics unavailable due to pre-revenue clinical-stage status. AgomAb's sole financial strength is a pristine balance sheet: D/E of 0.4% reflects virtually zero financial debt after the February 2026 IPO raised $208M in gross proceeds, providing a guided cash runway into H1 2029 [1]. However, profit margin is 0.0% — the company has no product revenue and reported a €62.5M net loss in FY2025 (up 35% from €46.3M in FY2024) with accelerating R&amp;D spend of €48.9M [1]. ROE, revenue growth, PEG, and 5-year CAGR are all unavailable; Forward P/E of -4.3 excluded as not meaningful for a pre-revenue biotech. Infrastructure calculated mechanically (Growth stock): D/E 0.4% → 1.0 (1x weight), Profit Margin 0.0% → 0.0 (1x weight). Rev Growth, ROE, 5yr CAGR, Forward P/E, PEG excluded (unavailable or not meaningful). Weighted sum 1.0 / max 2.0 × 10 = 5. Liquidity floor cleared: 135,137 avg vol × $8.80 = $1.19M daily dollar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AgomAb is a young clinical-stage biotech (founded 2017) that has not yet faced the sustained organizational tests Sinek requires for infinite game thinking. The company has a genuine therapeutic mission in fibrosis but it remains unvalidated by decades of execution. CEO Knotnerus has led since 2019 and made the strategic pivot to ALK5 inhibitors via the Origo acquisition, but the company lacks the institutional depth, crisis-tested purpose, and organizational maturity that distinguish infinite players. The IPO transition introduces new pressures from quarterly reporting and public market expectations that could shift focus toward finite metrics.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AgomAb articulates a purpose — 'resolve fibro-inflammation and restore organ function' — that connects its work to patient benefit, and the pipeline targets genuine unmet needs in fibrostenosing Crohn's disease and IPF [2]. However, the cause reads as a description of the company's therapeutic strategy rather than an idealistic vision of a future state that transcends any single product or indication. Founded in 2017, the company has not yet demonstrated multi-cycle commitment to this purpose, and the cause has not been tested through adversity,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AgomAb's leadership team shows reasonable stability, with CEO Knotnerus serving since 2019 and most C-suite executives having multi-year tenures (CMO Wiesel since 2021, CDO Sáez since 2023, General Counsel Lefever since 2021) [4]. The multi-site European structure across Belgium, Italy, and Spain suggests trust in distributed teams. However, no independent employee satisfaction data, voluntary turnover metrics, or culture assessments are available for a 62-person company, and the recent IPO and CFO change (Pierre Kemula joining November 2024) indicate ongoing organizational evolution.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AgomAb frames its competitive landscape in public communications. The company's messaging focuses on its 'first-in-class' positioning in fibrostenosing Crohn's disease rather than acknowledging or learning from the strengths of larger competitors in the fibrosis space (AbbVie, Roche, Pliant Therapeutics) [2]. No management commentary references competitors as sources of self-improvement or acknowledges specific rival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Origo Biopharma acquisition in 2021 represented meaningful strategic flexibility — AgomAb expanded from a single-platform MET agonist company into a multi-mechanism fibrosis platform incorporating ALK5 inhibitors, effectively doubling its therapeutic toolkit and making the acquired programs (AGMB-129, AGMB-447) the company's lead assets [3]. This shows willingness to evolve the business model. However, the company is too young and pre-commercial to have faced Sinek's existential test of abandoning a successful business line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Knotnerus made the significant strategic decision to acquire Origo Biopharma in 2021, pivoting from the original MET agonist platform to embrace ALK5 inhibitors as the lead pipeline — a bet on unproven mechanism that required absorbing a Spanish biotech and redirecting company resources [3]. Successfully raising ~€300M across multiple private rounds and a public offering demonstrates fundraising conviction. However, no examples exist of sacrificing near-term results for long-term capability, as the company has been in growth/raise mode since founding.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AgomAb at $8.80 with a $433M market cap offers a discounted entry into a clinical-stage fibrosis platform targeting large unaddressed markets. Ontunisertib (AGMB-129) demonstrated proof of concept in Phase 2a STENOVA for fibrostenosing Crohn's disease — a condition with zero approved disease-modifying therapies representing a ~$3B addressable market — with Phase 2b FDA interactions completed and initiation expected H2 2026 [1][2]. The February 2026 IPO raised $208M in gross proceeds, combined with €116.5M in pre-IPO cash and investments, providing a guided runway into H1 2029 that fully funds Phase 2b progression without near-term dilution [1]. AGMB-447 for IPF adds a second high-value indication in the $6B+ idiopathic pulmonary fibrosis market, with Phase 1b data expected H2 2026 and MHRA-endorsed Phase 2 PoC planned concurrently [1]. The pristine balance sheet (D/E 0.4%) and multi-program pipeline provide multiple catalysts in the next 12 months.</w:t>
      </w:r>
    </w:p>
    <w:p>
      <w:pPr>
        <w:spacing w:after="120"/>
      </w:pPr>
      <w:r>
        <w:rPr>
          <w:rFonts w:ascii="Calibri" w:hAnsi="Calibri"/>
          <w:b w:val="0"/>
          <w:color w:val="3A4A28"/>
          <w:sz w:val="20"/>
        </w:rPr>
        <w:t>The bear case centers on binary clinical risk and post-IPO valuation collapse. AGMB trades at $8.80 — roughly 45% below its $15-17 IPO range from just eight months ago — signaling weak institutional conviction in the clinical-stage fibrosis thesis and a punishing market environment for pre-revenue biotechs [1]. The €62.5M FY2025 net loss (up 35% YoY) reflects accelerating cash burn as the pipeline advances, and the guided H1 2029 runway assumes no expansion beyond current programs; Phase 2b cost overruns or additional indications could force dilutive financing at depressed prices [1]. With only 62 employees across three European countries and a Nasdaq listing, AgomAb faces operational complexity disproportionate to its scale. The ALK5 inhibitor mechanism is scientifically novel but commercially unvalidated, and competition from AbbVie, Roche, and Pliant Therapeutics in the broader fibrosis space creates significant execution risk — even if the science succeeds, a 62-person Belgian company may lack the commercial infrastructure to capture value without a partner or acquirer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2b STENOVA initiation for ontunisertib in fibrostenosing Crohn's disease expected H2 2026, following positive FDA interactions on study design — successful trial readout could establish first-in-class status in a condition with no approved disease-modifying therapies [1][2]</w:t>
      </w:r>
    </w:p>
    <w:p>
      <w:pPr>
        <w:spacing w:before="40" w:after="40"/>
        <w:ind w:left="283"/>
      </w:pPr>
      <w:r>
        <w:rPr>
          <w:rFonts w:ascii="Calibri" w:hAnsi="Calibri"/>
          <w:b/>
          <w:color w:val="4A6B25"/>
          <w:sz w:val="20"/>
        </w:rPr>
        <w:t xml:space="preserve">2. </w:t>
      </w:r>
      <w:r>
        <w:rPr>
          <w:rFonts w:ascii="Calibri" w:hAnsi="Calibri"/>
          <w:b w:val="0"/>
          <w:color w:val="3A4A28"/>
          <w:sz w:val="20"/>
        </w:rPr>
        <w:t>AGMB-447 Phase 1b topline data in idiopathic pulmonary fibrosis expected H2 2026, with MHRA-endorsed Phase 2 proof-of-concept study planned to start concurrently — positive safety and PK data would validate the inhaled ALK5 platform in a $6B+ addressable market [1]</w:t>
      </w:r>
    </w:p>
    <w:p>
      <w:pPr>
        <w:spacing w:before="40" w:after="40"/>
        <w:ind w:left="283"/>
      </w:pPr>
      <w:r>
        <w:rPr>
          <w:rFonts w:ascii="Calibri" w:hAnsi="Calibri"/>
          <w:b/>
          <w:color w:val="4A6B25"/>
          <w:sz w:val="20"/>
        </w:rPr>
        <w:t xml:space="preserve">3. </w:t>
      </w:r>
      <w:r>
        <w:rPr>
          <w:rFonts w:ascii="Calibri" w:hAnsi="Calibri"/>
          <w:b w:val="0"/>
          <w:color w:val="3A4A28"/>
          <w:sz w:val="20"/>
        </w:rPr>
        <w:t>STENOVA Part B open-label extension 48-week data expected H2 2026, which could demonstrate durable anti-fibrotic efficacy of ontunisertib and inform Phase 2b dosing, endpoints, and potential regulatory pathway acceleration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clinical-stage risk — ontunisertib Phase 2b failure in fibrostenosing Crohn's disease would eliminate the majority of pipeline value, with no revenue base to absorb the loss and likely &gt;50% stock price decline from the current $433M market cap [1]</w:t>
      </w:r>
    </w:p>
    <w:p>
      <w:pPr>
        <w:spacing w:before="40" w:after="40"/>
        <w:ind w:left="283"/>
      </w:pPr>
      <w:r>
        <w:rPr>
          <w:rFonts w:ascii="Calibri" w:hAnsi="Calibri"/>
          <w:b/>
          <w:color w:val="4A6B25"/>
          <w:sz w:val="20"/>
        </w:rPr>
        <w:t xml:space="preserve">2. </w:t>
      </w:r>
      <w:r>
        <w:rPr>
          <w:rFonts w:ascii="Calibri" w:hAnsi="Calibri"/>
          <w:b w:val="0"/>
          <w:color w:val="3A4A28"/>
          <w:sz w:val="20"/>
        </w:rPr>
        <w:t>Cash burn acceleration — €62.5M FY2025 net loss growing 35% YoY will intensify as Phase 2b trials scale across multiple geographies, and the guided H1 2029 runway assumes no additional programs; cost overruns or setbacks could force dilutive financing at the current depressed $8.80 share price [1]</w:t>
      </w:r>
    </w:p>
    <w:p>
      <w:pPr>
        <w:spacing w:before="40" w:after="40"/>
        <w:ind w:left="283"/>
      </w:pPr>
      <w:r>
        <w:rPr>
          <w:rFonts w:ascii="Calibri" w:hAnsi="Calibri"/>
          <w:b/>
          <w:color w:val="4A6B25"/>
          <w:sz w:val="20"/>
        </w:rPr>
        <w:t xml:space="preserve">3. </w:t>
      </w:r>
      <w:r>
        <w:rPr>
          <w:rFonts w:ascii="Calibri" w:hAnsi="Calibri"/>
          <w:b w:val="0"/>
          <w:color w:val="3A4A28"/>
          <w:sz w:val="20"/>
        </w:rPr>
        <w:t>Liquidity and scale constraints — daily dollar volume of $1.19M barely clears the IOWN liquidity floor, limiting institutional position sizing, while the 62-employee European organization faces disproportionate complexity managing multi-site R&amp;D, a Nasdaq listing, and clinical trials across North America and Europe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Biotechnology drug development — particularly developing anti-fibrotic therapeutics through novel ALK5 inhibition and MET agonist biology — involves complex molecular biology, tissue-level physiological processes, and extensive physical-world clinical trial operations that AI structurally cannot substitute [1][2]. The regulatory pathway (FDA, EMA, MHRA) creates additional structural moats requiring years of human-conducted clinical trials, and AgomAb's proprietary gut-restricted and lung-restricted formulation technologies involve physical chemistry challenges beyond AI's reach. While AI may accelerate competitors' early-stage drug discovery timelines, it cannot replicate AgomAb's clinical data package or regulatory relationships. The only minor exposure is that AI-driven drug design could enable faster-follower competitors in the ALK5 inhibitor space. AI Opportunity (0/1): No AI revenue. AgomAb does not generate revenue from AI products or services and operates as a traditional biotech with no disclosed AI-powered drug discovery capabilities or computational platforms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N/A</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Agomab Full Year 2025 Financial Results and Corporate Update, SEC Filing (Form 6-K), April 2026</w:t>
      </w:r>
    </w:p>
    <w:p>
      <w:pPr>
        <w:spacing w:before="20" w:after="20"/>
        <w:ind w:left="170"/>
      </w:pPr>
      <w:r>
        <w:rPr>
          <w:rFonts w:ascii="Calibri" w:hAnsi="Calibri"/>
          <w:b/>
          <w:color w:val="4A6B25"/>
          <w:sz w:val="15"/>
        </w:rPr>
        <w:t xml:space="preserve">2. </w:t>
      </w:r>
      <w:r>
        <w:rPr>
          <w:rFonts w:ascii="Calibri" w:hAnsi="Calibri"/>
          <w:b w:val="0"/>
          <w:color w:val="3A4A28"/>
          <w:sz w:val="17"/>
        </w:rPr>
        <w:t>Agomab Phase 2a STENOVA Late-Breaking Presentation at ECCO'26 and Clinical Pipeline Update, February 2026</w:t>
      </w:r>
    </w:p>
    <w:p>
      <w:pPr>
        <w:spacing w:before="20" w:after="20"/>
        <w:ind w:left="170"/>
      </w:pPr>
      <w:r>
        <w:rPr>
          <w:rFonts w:ascii="Calibri" w:hAnsi="Calibri"/>
          <w:b/>
          <w:color w:val="4A6B25"/>
          <w:sz w:val="15"/>
        </w:rPr>
        <w:t xml:space="preserve">3. </w:t>
      </w:r>
      <w:r>
        <w:rPr>
          <w:rFonts w:ascii="Calibri" w:hAnsi="Calibri"/>
          <w:b w:val="0"/>
          <w:color w:val="3A4A28"/>
          <w:sz w:val="17"/>
        </w:rPr>
        <w:t>Agomab $89M Series D Financing and Origo Biopharma Acquisition Coverage, BioSpace and Pharmaceutical Technology, 2021-2024</w:t>
      </w:r>
    </w:p>
    <w:p>
      <w:pPr>
        <w:spacing w:before="20" w:after="20"/>
        <w:ind w:left="170"/>
      </w:pPr>
      <w:r>
        <w:rPr>
          <w:rFonts w:ascii="Calibri" w:hAnsi="Calibri"/>
          <w:b/>
          <w:color w:val="4A6B25"/>
          <w:sz w:val="15"/>
        </w:rPr>
        <w:t xml:space="preserve">4. </w:t>
      </w:r>
      <w:r>
        <w:rPr>
          <w:rFonts w:ascii="Calibri" w:hAnsi="Calibri"/>
          <w:b w:val="0"/>
          <w:color w:val="3A4A28"/>
          <w:sz w:val="17"/>
        </w:rPr>
        <w:t>Agomab IPO Prospectus (Form 424B4) and Leadership Team Disclosures, SEC Filing,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