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AGX</w:t>
      </w:r>
      <w:r>
        <w:rPr>
          <w:rFonts w:ascii="Calibri" w:hAnsi="Calibri"/>
          <w:b/>
          <w:color w:val="1A2010"/>
          <w:sz w:val="40"/>
        </w:rPr>
        <w:t xml:space="preserve">  Argan, Inc.</w:t>
      </w:r>
    </w:p>
    <w:p>
      <w:pPr>
        <w:spacing w:after="120"/>
      </w:pPr>
      <w:r>
        <w:rPr>
          <w:rFonts w:ascii="Calibri" w:hAnsi="Calibri"/>
          <w:b/>
          <w:color w:val="6E8450"/>
          <w:sz w:val="18"/>
        </w:rPr>
        <w:t>GROWTH SLEEVE · 2026-10-13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NYSE · United States</w:t>
      </w:r>
    </w:p>
    <w:p>
      <w:pPr>
        <w:spacing w:after="80"/>
      </w:pPr>
      <w:r>
        <w:rPr>
          <w:rFonts w:ascii="Calibri" w:hAnsi="Calibri"/>
          <w:b w:val="0"/>
          <w:color w:val="3A4A28"/>
          <w:sz w:val="20"/>
        </w:rPr>
        <w:t>Argan, Inc. provides engineering, procurement, construction, commissioning, and maintenance services to the power generation market through its subsidiaries Gemma Power Systems, The Roberts Company, and Southern Maryland Cable. The company builds gas-fired and renewable energy power plants, provides industrial fabrication and field services, and operates a teledata segment for underground communication and power networks. Fiscal 2026 (ended January 2026) revenues reached a record $944.6M, up 8.1% YoY, with diluted EPS of $9.74 versus $6.15 prior year. Q1 fiscal 2027 (ended July 2026) accelerated to $384.0M revenue, up 61.5% YoY, with project backlog at $2.9B. Headquartered in Arlington, Virginia.</w:t>
      </w:r>
    </w:p>
    <w:p>
      <w:r>
        <w:rPr>
          <w:rFonts w:ascii="Calibri" w:hAnsi="Calibri"/>
          <w:b/>
          <w:color w:val="6E8450"/>
          <w:sz w:val="18"/>
        </w:rPr>
        <w:t>1,409 Employees · https://www.arganinc.com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Argan has more than doubled revenue from $455M (FY2023) to $1.19B TTM through aggressive expansion into renewable energy EPC alongside its legacy gas-fired power plant business, winning record project backlog of $2.9B at FY2026 end [1]. The growth trajectory — 8.1% annual in FY2026 accelerating to 61.5% quarterly in Q1 FY2027 — represents a significant scaling of the business, though within the same EPC service model rather than a transformative pivot [2]. AI Deployment (0/2): No evidence of AI-powered products or quantified internal AI savings; Argan remains a traditional engineering and construction firm with no disclosed AI strategy. Market Share (1/2): Gemma Power Systems is a meaningful player in U.S. power generation EPC with a $2.9B backlog indicating strong competitive positioning, but competes against much larger firms including Bechtel, Fluor, and Kiewit and does not hold category-leading market share [1]. Product Pipeline (0/2): While the $2.9B backlog provides exceptional revenue visibility, these are contracted construction projects rather than next-generation products or services; no R&amp;D-driven innovations or new service offerings have been announced with specific timelines. R&amp;D Intensity (0/1): EPC companies have structurally negligible R&amp;D spending; no evidence of above-peer investment in technology or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Argan's public materials describe its purpose in functional terms — providing services to the power generation market — without articulating a deeper vision of a better future or a cause that differentiates from competitors. The company's website and investor materials are operationally focused, which is typical for a mid-cap EPC firm but earns only a boilerplate mission score. Community Impact (0/2): No evidence of meaningful charitable programs, community investment, or foundation activities was found in public materials or news coverage [3]. Employee Retention (1/2): The orderly leadership succession at The Roberts Company subsidiary — Bobby Foister's planned departure with Sean Terrell's internal promotion from President to CEO — suggests a stable organizational culture with internal talent development [2]. The company's 65-year operating history since 1961 indicates institutional durability, though no specific retention metrics, Glassdoor data, or employee tenure information was available. Insider Buying (0/2): No evidence of meaningful net insider buying by senior executives in the last 12 months was found in public filings or news.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Argan's infrastructure reflects an exceptionally clean balance sheet with accelerating growth [1][2]. D/E of 2.15% is virtually debt-free against a 70% target, scoring 1.0 (1x weight). ROE of 39.85% far exceeds the 15% target, scoring 1.0 (2x weight). Revenue growth YoY of 61.5% (Q1 FY2027) crushes the 10% target, scoring 1.0 (1x weight). Revenue growth 5yr CAGR estimated at ~20% (FY2023-FY2026 3yr CAGR of 27.6%) exceeds the 10% target, scoring 1.0 (2x weight). Forward P/E of 24.08 scores 0.90 against the 20 target (1x weight). Profit margin of 15.09% scores 0.75 against the 20% target (1x weight). PEG ratio unavailable from yfinance, excluded from calculation. Weighted sum 7.65 / max 8.0 = 9.56, rounded to 10. Daily dollar volume of $139.4M ($387.89 x 359,459)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Argan operates as a competent, financially disciplined EPC firm that has endured for 65 years since its 1961 incorporation, demonstrating institutional staying power. However, the company lacks a distinctive Just Cause beyond executing construction contracts profitably. Strategic decisions — growing the backlog, expanding into renewables, managing subsidiary leadership transitions — are driven by sound business logic rather than a transcendent purpose. Sinek would credit the debt-free balance sheet and dividend consistency as signs of long-term thinking, but would note the absence of a vision that inspires sacrifice or defines why the company exists beyond making money.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Argan's publicly stated purpose is functional — providing EPC services to the power generation market. There is no articulated vision of a future state that does not yet exist, no cause that invites others to contribute or inspires sacrifice. The company exists to build power plants profitably, which is a perfectly valid business but not a Just Cause in Sinek's framework. The expansion into renewable energy could be framed as advancing a cleaner energy future, but management has not articulated this as a guiding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orderly leadership succession at The Roberts Company — Bobby Foister's planned departure with internal promotion of Sean Terrell from President to CEO — suggests a stable, low-drama organizational culture that develops leaders from within [2]. A workforce of 1,409 and 65-year operating history indicate institutional stability. No evidence of mass layoffs, cultural dysfunction, or organizational instability. However, no exceptional indicators of trust or empowerment — no Glassdoor data, employee tenure statistics, or cultural practices — could be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Argan's management commentary or public communications. The company competes against Bechtel, Fluor, and other large EPC firms but no statements reference learning from competitors' strengths or using competition as motivation for self-improvement. The competitive posture, to the extent visible, is about winning contracts rather than about becoming a better company.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Argan has evolved from a primarily gas-fired power plant builder to include significant renewable energy EPC capabilities, entering the wind and solar construction market as the energy transition accelerated [1]. This is a meaningful adaptation to industry shifts but represents an incremental extension of existing engineering and construction capabilities rather than a transformative reinvention. The company has not abandoned a core business or made a painful strategic pivot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Argan has maintained a virtually debt-free balance sheet (D/E 2.15%) while investing in growth, choosing long-term financial strength over leveraged expansion that many competitors pursue [1]. The company has grown dividends from $1.20 to $2.00 annually while simultaneously doubling revenue, demonstrating the discipline to return capital while reinvesting. These are signs of principled long-term leadership, though no examples of sacrificing near-term performance for a larger purpose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Argan at $387.89 with a virtually debt-free balance sheet (D/E 2.15%), 39.85% ROE, and $2.9B record project backlog is a direct beneficiary of the U.S. power generation buildout driven by AI data center demand, electrification, and the energy transition [1]. Q1 FY2027 revenue surged 61.5% YoY to $384.0M, and the backlog-to-revenue ratio of ~9.8 quarters provides exceptional forward visibility. The company generates strong cash flows with a profit margin of 15.09% — well above EPC industry averages — and has grown dividends from $1.20 to $2.00 annually while maintaining zero leverage. At a forward P/E of 24.08, the valuation is reasonable for a company delivering 50%+ earnings growth.</w:t>
      </w:r>
    </w:p>
    <w:p>
      <w:pPr>
        <w:spacing w:after="120"/>
      </w:pPr>
      <w:r>
        <w:rPr>
          <w:rFonts w:ascii="Calibri" w:hAnsi="Calibri"/>
          <w:b w:val="0"/>
          <w:color w:val="3A4A28"/>
          <w:sz w:val="20"/>
        </w:rPr>
        <w:t>The bear case centers on execution risk and cyclicality inherent in project-based construction businesses. Argan's revenue is lumpy and dependent on winning large power generation contracts — the top line went from $573M (FY2024) to $874M (FY2025) to $945M (FY2026) but a slowdown in new contract awards would cause a sharp revenue cliff [1]. The $2.9B backlog, while impressive, is heavily concentrated in the U.S. power generation market, creating sector concentration risk if the buildout pace slows due to regulatory changes, permitting delays, or utility capital spending cuts. The forward P/E of 24.08 prices in substantial growth, and any miss on execution — cost overruns, project delays, or a major dispute like the prior Exelon litigation — could compress multiples rapidly [3]. With only 1,409 employees managing a $1.2B TTM revenue run rate, workforce scaling is a key bottleneck.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electricity demand is driving an unprecedented cycle of U.S. power generation construction, directly expanding Argan's addressable market and supporting the $2.9B record backlog [1]</w:t>
      </w:r>
    </w:p>
    <w:p>
      <w:pPr>
        <w:spacing w:before="40" w:after="40"/>
        <w:ind w:left="283"/>
      </w:pPr>
      <w:r>
        <w:rPr>
          <w:rFonts w:ascii="Calibri" w:hAnsi="Calibri"/>
          <w:b/>
          <w:color w:val="4A6B25"/>
          <w:sz w:val="20"/>
        </w:rPr>
        <w:t xml:space="preserve">2. </w:t>
      </w:r>
      <w:r>
        <w:rPr>
          <w:rFonts w:ascii="Calibri" w:hAnsi="Calibri"/>
          <w:b w:val="0"/>
          <w:color w:val="3A4A28"/>
          <w:sz w:val="20"/>
        </w:rPr>
        <w:t>Revenue trajectory accelerating from 8.1% annual growth (FY2026) to 61.5% quarterly growth (Q1 FY2027) as large-scale contracted projects ramp into construction phase [2]</w:t>
      </w:r>
    </w:p>
    <w:p>
      <w:pPr>
        <w:spacing w:before="40" w:after="40"/>
        <w:ind w:left="283"/>
      </w:pPr>
      <w:r>
        <w:rPr>
          <w:rFonts w:ascii="Calibri" w:hAnsi="Calibri"/>
          <w:b/>
          <w:color w:val="4A6B25"/>
          <w:sz w:val="20"/>
        </w:rPr>
        <w:t xml:space="preserve">3. </w:t>
      </w:r>
      <w:r>
        <w:rPr>
          <w:rFonts w:ascii="Calibri" w:hAnsi="Calibri"/>
          <w:b w:val="0"/>
          <w:color w:val="3A4A28"/>
          <w:sz w:val="20"/>
        </w:rPr>
        <w:t>Virtually debt-free balance sheet with 39.85% ROE provides financial flexibility to pursue larger contracts and self-fund growth without dilution or leverage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Project concentration risk — a construction delay, cost overrun, or client dispute on a major contracted project could materially impact quarterly results given the lumpy, project-based revenue model [3]</w:t>
      </w:r>
    </w:p>
    <w:p>
      <w:pPr>
        <w:spacing w:before="40" w:after="40"/>
        <w:ind w:left="283"/>
      </w:pPr>
      <w:r>
        <w:rPr>
          <w:rFonts w:ascii="Calibri" w:hAnsi="Calibri"/>
          <w:b/>
          <w:color w:val="4A6B25"/>
          <w:sz w:val="20"/>
        </w:rPr>
        <w:t xml:space="preserve">2. </w:t>
      </w:r>
      <w:r>
        <w:rPr>
          <w:rFonts w:ascii="Calibri" w:hAnsi="Calibri"/>
          <w:b w:val="0"/>
          <w:color w:val="3A4A28"/>
          <w:sz w:val="20"/>
        </w:rPr>
        <w:t>Workforce scaling constraint — managing $1.2B TTM revenue with 1,409 employees ($844K revenue per employee) raises execution risk as backlog converts to active construction across multiple simultaneous projects</w:t>
      </w:r>
    </w:p>
    <w:p>
      <w:pPr>
        <w:spacing w:before="40" w:after="40"/>
        <w:ind w:left="283"/>
      </w:pPr>
      <w:r>
        <w:rPr>
          <w:rFonts w:ascii="Calibri" w:hAnsi="Calibri"/>
          <w:b/>
          <w:color w:val="4A6B25"/>
          <w:sz w:val="20"/>
        </w:rPr>
        <w:t xml:space="preserve">3. </w:t>
      </w:r>
      <w:r>
        <w:rPr>
          <w:rFonts w:ascii="Calibri" w:hAnsi="Calibri"/>
          <w:b w:val="0"/>
          <w:color w:val="3A4A28"/>
          <w:sz w:val="20"/>
        </w:rPr>
        <w:t>Cyclical exposure to U.S. power generation capital spending — a slowdown in utility CapEx from rising interest rates, regulatory delays, or shifting energy policy would reduce new contract awards and erode the backlog pipeline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Argan's core business — designing, engineering, and physically constructing power generation facilities — is structurally immune to AI disruption [1]. Building gas-fired turbines, wind farms, and solar installations requires heavy equipment, skilled trades labor, site-specific engineering, and regulatory permitting that AI cannot replicate or substitute. AI is actually increasing demand for Argan's services: the boom in AI data center construction is driving unprecedented electricity demand, requiring new power generation capacity that Argan builds [2]. The $2.9B record backlog reflects this accelerating demand cycle. AI Opportunity (0/1): Argan does not generate revenue from AI products or services. While AI-driven electricity demand is an indirect tailwind, the company itself does not sell AI solutions.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Argan, Inc. FY2026 Full-Year Results — Revenue $944.6M (+8.1% YoY), Diluted EPS $9.74 vs $6.15, Record $2.9B Backlog, Gross Margin 20.5% — BusinessWire, Quartr, March 2026</w:t>
      </w:r>
    </w:p>
    <w:p>
      <w:pPr>
        <w:spacing w:before="20" w:after="20"/>
        <w:ind w:left="170"/>
      </w:pPr>
      <w:r>
        <w:rPr>
          <w:rFonts w:ascii="Calibri" w:hAnsi="Calibri"/>
          <w:b/>
          <w:color w:val="4A6B25"/>
          <w:sz w:val="15"/>
        </w:rPr>
        <w:t xml:space="preserve">2. </w:t>
      </w:r>
      <w:r>
        <w:rPr>
          <w:rFonts w:ascii="Calibri" w:hAnsi="Calibri"/>
          <w:b w:val="0"/>
          <w:color w:val="3A4A28"/>
          <w:sz w:val="17"/>
        </w:rPr>
        <w:t>Argan, Inc. Q1 FY2027 Results (Quarter Ended July 2026) — Revenue $384.0M (+61.5% YoY), Leadership Succession at Roberts Company — Webull, StockTitan, September 2026</w:t>
      </w:r>
    </w:p>
    <w:p>
      <w:pPr>
        <w:spacing w:before="20" w:after="20"/>
        <w:ind w:left="170"/>
      </w:pPr>
      <w:r>
        <w:rPr>
          <w:rFonts w:ascii="Calibri" w:hAnsi="Calibri"/>
          <w:b/>
          <w:color w:val="4A6B25"/>
          <w:sz w:val="15"/>
        </w:rPr>
        <w:t xml:space="preserve">3. </w:t>
      </w:r>
      <w:r>
        <w:rPr>
          <w:rFonts w:ascii="Calibri" w:hAnsi="Calibri"/>
          <w:b w:val="0"/>
          <w:color w:val="3A4A28"/>
          <w:sz w:val="17"/>
        </w:rPr>
        <w:t>Argan, Inc. Corporate Governance — Bylaws Amendment to Limit Officer Liability, Exelon Dispute Settlement ($27.5M, 2021) — Kalkine, SEC Filings,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