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AG</w:t>
      </w:r>
      <w:r>
        <w:rPr>
          <w:rFonts w:ascii="Calibri" w:hAnsi="Calibri"/>
          <w:b/>
          <w:color w:val="1A2010"/>
          <w:sz w:val="40"/>
        </w:rPr>
        <w:t xml:space="preserve">  First Majestic Silver Corp.</w:t>
      </w:r>
    </w:p>
    <w:p>
      <w:pPr>
        <w:spacing w:after="120"/>
      </w:pPr>
      <w:r>
        <w:rPr>
          <w:rFonts w:ascii="Calibri" w:hAnsi="Calibri"/>
          <w:b/>
          <w:color w:val="6E8450"/>
          <w:sz w:val="18"/>
        </w:rPr>
        <w:t>GROWTH SLEEVE · 2026-10-01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Silver · NYQ · Canada</w:t>
      </w:r>
    </w:p>
    <w:p>
      <w:pPr>
        <w:spacing w:after="80"/>
      </w:pPr>
      <w:r>
        <w:rPr>
          <w:rFonts w:ascii="Calibri" w:hAnsi="Calibri"/>
          <w:b w:val="0"/>
          <w:color w:val="3A4A28"/>
          <w:sz w:val="20"/>
        </w:rPr>
        <w:t>First Majestic Silver Corp. is one of the world's largest primary silver producers, operating three producing silver and gold mines in Mexico (San Dimas, Santa Elena, La Encantada) and the Los Gatos mine acquired through the Gatos Silver merger. Founded in 2002 by CEO Keith Neumeyer and headquartered in Vancouver, Canada, the company reported record Q1 2026 revenue of $476.7M (+95% YoY) and Q2 2026 revenue of $415.5M (+57% YoY), driven by surging silver and gold prices. Record treasury of $1.253B and free cash flow of $194.6M in Q2 2026.</w:t>
      </w:r>
    </w:p>
    <w:p>
      <w:r>
        <w:rPr>
          <w:rFonts w:ascii="Calibri" w:hAnsi="Calibri"/>
          <w:b/>
          <w:color w:val="6E8450"/>
          <w:sz w:val="18"/>
        </w:rPr>
        <w:t>4,200 Employees · https://www.firstmajestic.com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First Majestic completed the acquisition of Gatos Silver in 2022, adding the high-grade Los Gatos mine and meaningfully expanding silver/gold production capacity [1]. This was a significant portfolio enhancement, but the core business model of underground silver/gold extraction remains unchanged, and the Jerritt Canyon Nevada operation was subsequently suspended due to cost overruns. No transformative business model pivots. AI Deployment (0/2): No evidence of AI-powered products, AI-assisted mining operations, or quantified AI-driven efficiency gains. Operations rely on traditional mining methods with incremental mechanization [2]. Market Share (1/2): First Majestic is among the top primary silver producers globally, producing 3.8M oz silver and 34,660 oz gold in Q2 2026, but the silver mining market is highly fragmented and the company represents only ~3-4% of global mine production [1]. Product Pipeline (1/2): Active exploration programs continue at San Dimas deep drilling, Santa Elena underground expansion, Los Gatos resource growth, and La Encantada development, which serve as the mining equivalent of product pipeline [1]. However, mine development timelines are inherently uncertain and driven by geological discovery. R&amp;D Intensity (0/1): No evidence that First Majestic's exploration spending as a percentage of revenue exceeds silver mining industry peers; the VP of Metallurgy &amp; Innovation title suggests some investment but specific data is unavailable.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First Majestic's tagline — 'There's no substitute for silver' — is a commodity thesis rather than a transformative purpose statement [2]. CEO Neumeyer is a vocal silver advocate who speaks publicly about silver's industrial importance and monetary role, but the corporate purpose does not articulate a vision of a future state beyond extracting precious metals profitably. Community Impact (1/2): The company publishes ESG sustainability reports detailing community programs near Mexican mining operations, improved its Sustainalytics score from 50.6 to 31, and ratified a two-year collective agreement with 902 union workers at San Dimas [3]. Yahoo Finance rates its controversy level at 1.0/5 (lowest). These represent standard mining industry social license activities rather than distinctive community investment. Employee Retention (0/2): No specific employee turnover, average tenure, or retention data is publicly available. Keith Neumeyer's 24-year tenure as founder-CEO provides leadership continuity, but no evidence distinguishes workforce retention from mining industry norms. Insider Buying (0/2): No evidence of meaningful net insider buying by CEO Neumeyer or other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(PEG excluded — unavailable from yfinance). First Majestic's financial profile is exceptional in the elevated precious metals environment. D/E of 9.8% reflects a near-debt-free balance sheet with record $1.253B treasury against minimal debt (score 1.0) [1]. ROE of 13.4% is below the 15% target (score 0.90, 2x weight), diluted by the large cash position. Revenue growth YoY of 57.3% massively exceeds the 10% target (score 1.0), driven by 90% higher realized silver prices and 40% higher gold prices in Q2 2026 [1]. Estimated 5-year revenue CAGR of ~20% exceeds the 10% target (score 1.0, 2x weight). Forward P/E of 17.4 is below the 20 target (score 1.0), and profit margin of 21.2% exceeds the 20% target (score 1.0) with gross margins expanding 4x from $13/oz to $52/oz YoY [1]. Daily dollar volume of $179M clears the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First Majestic Silver operates with a commodity producer's mindset — the company exists to extract silver profitably and return value to shareholders. While founder-CEO Keith Neumeyer's 24-year tenure and passionate advocacy for silver as a critical industrial and monetary metal provide genuine conviction, the company's strategic decisions are driven by commodity price cycles and asset economics rather than a durable purpose that transcends the product. Strong union relationships and community engagement reflect genuine stakeholder orientation, but the infinite game framework requires more than good corporate citizenship.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Neumeyer's advocacy for silver — arguing that 'there's no substitute for silver' in technology, green energy, and monetary systems — provides genuine conviction beyond pure profit extraction [2]. The company's commitment to responsible mining through community engagement and environmental programs suggests some purpose orientation. However, the stated cause is fundamentally about a commodity's importance, not about a vision of a future state the company is uniquely building. If gold became more profitable, strategic focus would shift — the cause does not constrain strategy the way Sinek envisions.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ratified two-year collective agreement with 902 union workers at San Dimas demonstrates functional labor relations, and Neumeyer's 24-year leadership provides organizational continuity [3]. The appointment of Mani Alkhafaji as President &amp; Chief Corporate Development Officer effective January 2026 as part of succession planning shows organizational maturity. However, mining inherently involves hazardous conditions, and no specific employee retention, satisfaction, or safety metrics distinguish First Majestic from industry peers.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framing competitors (Pan American Silver, Coeur Mining, Hecla Mining) as worthy rivals whose strengths inspire self-improvement [2]. CEO Neumeyer's competitive commentary focuses on silver's positioning versus other commodities and investments rather than learning from peer mining companies. The competitive strategy is asset-driven (acquiring and optimizing mines) rather than capability-driven.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First Majestic has evolved from a single-mine operation to a multi-asset company spanning Mexico, with the Gatos Silver acquisition being the most significant portfolio transformation [1]. The First Majestic Mint — a direct-to-consumer bullion retail operation — represents novel vertical integration for a primary miner. However, the core business model of underground silver and gold mining remains fundamentally unchanged since founding in 2002.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Neumeyer demonstrated courage maintaining the silver-focused strategy through multi-year commodity downturns when peers diversified or cut production. The Gatos Silver acquisition during depressed silver prices was a bold contrarian bet now paying off with record revenue and cash flow [1]. Suspending Jerritt Canyon operations rather than continuing to burn cash showed operational discipline. However, these decisions were validated by subsequent price increases and represent contrarian conviction rather than sacrificing near-term results for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First Majestic Silver at 17.4x forward earnings with a record $1.253B treasury and near-zero leverage (D/E 9.8%) is exceptionally well-capitalized during a structural silver bull market. Q1 2026 revenue surged 95% to a record $476.7M with mine operating earnings of $266.6M, followed by Q2 at $415.5M (+57% YoY) with EBITDA of $252.3M (+110%) and free cash flow of $194.6M [1]. Gross margins expanded 4x from $13/oz to $52/oz driven by 90% higher realized silver prices, and profit margin of 21.2% exceeds the 20% target. Silver's critical role in AI infrastructure (semiconductor conductivity, thermal interface materials) and renewable energy (solar panels) creates a secular demand tailwind, while the structural supply deficit supports elevated prices. Founder-CEO Neumeyer's 24-year tenure provides strategic continuity, and the Gatos Silver acquisition is now contributing to record production levels [1].</w:t>
      </w:r>
    </w:p>
    <w:p>
      <w:pPr>
        <w:spacing w:after="120"/>
      </w:pPr>
      <w:r>
        <w:rPr>
          <w:rFonts w:ascii="Calibri" w:hAnsi="Calibri"/>
          <w:b w:val="0"/>
          <w:color w:val="3A4A28"/>
          <w:sz w:val="20"/>
        </w:rPr>
        <w:t>The bear case centers on extreme commodity price dependency and cyclical risk. First Majestic's record financial performance is almost entirely attributable to elevated silver (+90% YoY realized prices in Q2) and gold (+40% YoY) — if precious metals normalize toward historical averages, revenue, margins, and free cash flow would decline proportionally [1]. ROE of only 13.4% despite record revenue suggests mediocre capital efficiency, with the large cash position diluting returns. All three primary producing mines are located in Mexico, creating concentrated geopolitical, regulatory, and labor risk. The silver mining industry is inherently capital-intensive with declining ore grades requiring increasing investment to maintain production. Innovation and inspiration scores are among the lowest in the IOWN universe, reflecting a commodity extraction business without a transformative purpose or technology edge. The 0.34% dividend yield provides negligible downside protection, and the Inspire Impact Score of 0 (MIXED) reflects limited ESG data coverage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silver supply deficit driven by AI semiconductor demand, solar panel manufacturing growth, and monetary demand creating a secular price floor above historical averages — Q2 2026 realized silver prices up 90% YoY [1]</w:t>
      </w:r>
    </w:p>
    <w:p>
      <w:pPr>
        <w:spacing w:before="40" w:after="40"/>
        <w:ind w:left="283"/>
      </w:pPr>
      <w:r>
        <w:rPr>
          <w:rFonts w:ascii="Calibri" w:hAnsi="Calibri"/>
          <w:b/>
          <w:color w:val="4A6B25"/>
          <w:sz w:val="20"/>
        </w:rPr>
        <w:t xml:space="preserve">2. </w:t>
      </w:r>
      <w:r>
        <w:rPr>
          <w:rFonts w:ascii="Calibri" w:hAnsi="Calibri"/>
          <w:b w:val="0"/>
          <w:color w:val="3A4A28"/>
          <w:sz w:val="20"/>
        </w:rPr>
        <w:t>Record $1.253B treasury with near-zero net debt provides acquisition firepower for accretive mine purchases during any commodity weakness, a competitive advantage over leveraged peers [1]</w:t>
      </w:r>
    </w:p>
    <w:p>
      <w:pPr>
        <w:spacing w:before="40" w:after="40"/>
        <w:ind w:left="283"/>
      </w:pPr>
      <w:r>
        <w:rPr>
          <w:rFonts w:ascii="Calibri" w:hAnsi="Calibri"/>
          <w:b/>
          <w:color w:val="4A6B25"/>
          <w:sz w:val="20"/>
        </w:rPr>
        <w:t xml:space="preserve">3. </w:t>
      </w:r>
      <w:r>
        <w:rPr>
          <w:rFonts w:ascii="Calibri" w:hAnsi="Calibri"/>
          <w:b w:val="0"/>
          <w:color w:val="3A4A28"/>
          <w:sz w:val="20"/>
        </w:rPr>
        <w:t>Succession planning with Mani Alkhafaji as President &amp; CCDO positions the company for continued growth and strategic evolution beyond founder-CEO Neumeyer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commodity price dependency — revenue surged 95% in Q1 and 57% in Q2 almost entirely due to elevated silver and gold prices rather than operational improvement, creating severe downside if precious metals normalize [1]</w:t>
      </w:r>
    </w:p>
    <w:p>
      <w:pPr>
        <w:spacing w:before="40" w:after="40"/>
        <w:ind w:left="283"/>
      </w:pPr>
      <w:r>
        <w:rPr>
          <w:rFonts w:ascii="Calibri" w:hAnsi="Calibri"/>
          <w:b/>
          <w:color w:val="4A6B25"/>
          <w:sz w:val="20"/>
        </w:rPr>
        <w:t xml:space="preserve">2. </w:t>
      </w:r>
      <w:r>
        <w:rPr>
          <w:rFonts w:ascii="Calibri" w:hAnsi="Calibri"/>
          <w:b w:val="0"/>
          <w:color w:val="3A4A28"/>
          <w:sz w:val="20"/>
        </w:rPr>
        <w:t>Geographic concentration with all primary mines in Mexico exposes the company to Mexican regulatory changes, labor disputes, security risks, and taxation policy shifts that could disrupt operations or increase costs [3]</w:t>
      </w:r>
    </w:p>
    <w:p>
      <w:pPr>
        <w:spacing w:before="40" w:after="40"/>
        <w:ind w:left="283"/>
      </w:pPr>
      <w:r>
        <w:rPr>
          <w:rFonts w:ascii="Calibri" w:hAnsi="Calibri"/>
          <w:b/>
          <w:color w:val="4A6B25"/>
          <w:sz w:val="20"/>
        </w:rPr>
        <w:t xml:space="preserve">3. </w:t>
      </w:r>
      <w:r>
        <w:rPr>
          <w:rFonts w:ascii="Calibri" w:hAnsi="Calibri"/>
          <w:b w:val="0"/>
          <w:color w:val="3A4A28"/>
          <w:sz w:val="20"/>
        </w:rPr>
        <w:t>ROE of 13.4% despite record revenue suggests structural capital inefficiency — the $1.253B cash position exceeds near-term deployment opportunities and management lacks a clear capital allocation framework for optimizing returns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Silver mining is structurally immune to AI substitution — extracting physical precious metals from underground ore bodies requires geological expertise, heavy equipment, and skilled labor that AI cannot displace [2]. Silver is also a critical input for AI infrastructure: its unmatched electrical conductivity makes it essential for semiconductor manufacturing, high-speed data transmission, and thermal interface materials in AI data centers. The structural silver supply deficit, combined with growing AI and green energy demand, provides a secular demand tailwind. First Majestic's physical-world operations, underground mine assets, and essential commodity output make AI disruption of the core business structurally impossible. AI Opportunity (0/1): First Majestic generates no revenue from AI products or services. The company benefits indirectly from AI-driven silver demand growth but does not sell AI solutions or derive quantifiable AI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First Majestic Q1 and Q2 2026 Financial Results — Record Revenue $476.7M (+95%) and $415.5M (+57%), EBITDA $252.3M, FCF $194.6M, Record Treasury $1.253B — SEC Filings, Investing.com, MarketBeat, 2026</w:t>
      </w:r>
    </w:p>
    <w:p>
      <w:pPr>
        <w:spacing w:before="20" w:after="20"/>
        <w:ind w:left="170"/>
      </w:pPr>
      <w:r>
        <w:rPr>
          <w:rFonts w:ascii="Calibri" w:hAnsi="Calibri"/>
          <w:b/>
          <w:color w:val="4A6B25"/>
          <w:sz w:val="15"/>
        </w:rPr>
        <w:t xml:space="preserve">2. </w:t>
      </w:r>
      <w:r>
        <w:rPr>
          <w:rFonts w:ascii="Calibri" w:hAnsi="Calibri"/>
          <w:b w:val="0"/>
          <w:color w:val="3A4A28"/>
          <w:sz w:val="17"/>
        </w:rPr>
        <w:t>First Majestic Leadership and Corporate Profile — CEO Keith Neumeyer, COO Steven Holmes, President Mani Alkhafaji, VP Innovation Michael Deal — SimplyWallSt, LinkedIn, Wikipedia, firstmajestic.com</w:t>
      </w:r>
    </w:p>
    <w:p>
      <w:pPr>
        <w:spacing w:before="20" w:after="20"/>
        <w:ind w:left="170"/>
      </w:pPr>
      <w:r>
        <w:rPr>
          <w:rFonts w:ascii="Calibri" w:hAnsi="Calibri"/>
          <w:b/>
          <w:color w:val="4A6B25"/>
          <w:sz w:val="15"/>
        </w:rPr>
        <w:t xml:space="preserve">3. </w:t>
      </w:r>
      <w:r>
        <w:rPr>
          <w:rFonts w:ascii="Calibri" w:hAnsi="Calibri"/>
          <w:b w:val="0"/>
          <w:color w:val="3A4A28"/>
          <w:sz w:val="17"/>
        </w:rPr>
        <w:t>First Majestic ESG and Sustainability — Sustainalytics Score Improved to 31, Low Controversy Level 1.0, Community Programs, Union Agreement — Yahoo Finance, Newsfilecorp,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AG Key Statistics: Forward P/E 17.39x, D/E 9.8%, ROE 13.4%, Profit Margin 21.2%,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