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AHR</w:t>
      </w:r>
      <w:r>
        <w:rPr>
          <w:rFonts w:ascii="Calibri" w:hAnsi="Calibri"/>
          <w:b/>
          <w:color w:val="1A2010"/>
          <w:sz w:val="40"/>
        </w:rPr>
        <w:t xml:space="preserve">  American Healthcare REIT, Inc.</w:t>
      </w:r>
    </w:p>
    <w:p>
      <w:pPr>
        <w:spacing w:after="120"/>
      </w:pPr>
      <w:r>
        <w:rPr>
          <w:rFonts w:ascii="Calibri" w:hAnsi="Calibri"/>
          <w:b/>
          <w:color w:val="6E8450"/>
          <w:sz w:val="18"/>
        </w:rPr>
        <w:t>GROWTH SLEEVE · 2026-09-04 · Inspire: 16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American Healthcare REIT, Inc. is a self-managed REIT that acquires, owns, and operates a diversified portfolio of clinical healthcare real estate properties, focusing primarily on senior housing communities, skilled nursing facilities, and outpatient medical buildings across the United States, United Kingdom, and the Isle of Man. Operates through four segments: integrated senior health campuses, outpatient medical, triple-net leased properties, and SHOP (Senior Housing Operating Portfolio). Market cap approximately $9.1B.</w:t>
      </w:r>
    </w:p>
    <w:p>
      <w:r>
        <w:rPr>
          <w:rFonts w:ascii="Calibri" w:hAnsi="Calibri"/>
          <w:b/>
          <w:color w:val="6E8450"/>
          <w:sz w:val="18"/>
        </w:rPr>
        <w:t>121 Employees · https://americanhealthcarereit.com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AHR delivered a tenth consecutive quarter of strong operational performance with Q2 2026 revenue of $674.3M and Q1 NFFO surging 31.6% YoY to $0.50/share, marking nine consecutive quarters of double-digit same-store NOI growth [1][2]. International expansion into the UK and Isle of Man adds geographic diversification. However, the core business model of acquiring and operating healthcare properties remains fundamentally unchanged since inception. AI Deployment (0/2): The company has implemented data and AI-enabled asset management dashboards for occupancy forecasting and lease rollover risk analysis, but no AI products ship to external customers and no quantified savings have been reported [3]. Market Share (1/2): AHR is a meaningful player in the healthcare REIT space with $9.1B market cap, joining major FTSE Russell Large Cap indices in 2026, though it remains smaller than competitors Welltower ($173.7B) and Ventas [4]. Product Pipeline (0/2): Active acquisition pipeline but no specific next-generation products or developments with named timelines beyond general capacity expansion. R&amp;D Intensity (1/1): Not applicable as a REIT; however, investment in data science dashboards and AI-enabled asset management represents above-average technology adoption for the healthcare REIT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AHR's purpose centers on providing quality healthcare environments for aging populations, prioritizing resident care through its operating partners; the mission is clear and connects to a genuine societal need but is not deeply distinctive from other healthcare REITs [3]. Community Impact (1/2): The company serves a direct community need through senior housing and healthcare facilities. Published its inaugural Corporate Responsibility Report and TCFD report in 2025, established a DEI initiative, and operates a LEED-certified corporate headquarters with energy-efficient retrofits across properties [5]. Employee Retention (1/2): Glassdoor ratings are strong at 4.6/5 for culture and values with 100% CEO approval; leadership described as 'approachable, genuinely interested in each employee, and consistently making decisions rooted in integrity' [3]. However, founding CEO Danny Prosky took medical leave in early 2026, with Jeff Hanson (chairman) appointed permanent CEO — a smooth but notable leadership transition [4]. Insider Buying (0/2): Zero insider purchases over the last 12 months, with 2 insiders selling $300.6K in shares — no conviction signal from leadership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Q2 2026 revenue of $674.3M with Q1 NFFO of $0.50/share growing 31.6% YoY, and full-year 2026 revenue guidance of approximately $2.70B [1][2]. D/E of 48% scores perfectly — conservative for a REIT well below the 70% target. Revenue growth YoY of 12.2% and 5yr CAGR of approximately 13.2% both exceed targets, scoring full marks [7]. However, ROE of 3.49% is depressed by REIT accounting (high depreciation reduces GAAP earnings), scoring only 0.23. Profit margin of approximately 4.5% (Q2 net income $30.6M on $674.3M revenue) scores 0.23 [2]. Forward P/E estimated at approximately 83x ($46.50 / $0.56 midpoint EPS guidance) exceeds the 60 floor, and PEG of approximately 5.95 exceeds the 3.0 floor — both scoring 0 [7]. Note: REITs are valued on FFO, not GAAP earnings; at approximately 23x forward NFFO ($2.03-$2.09 guided), AHR's FFO valuation is reasonable for its growth profile. Liquidity cleared: 4.6M avg volume x $46.50 = $214M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AHR demonstrates genuine purpose in serving aging populations through quality healthcare environments, with strong organizational trust signals evident in exceptional Glassdoor ratings. The smooth leadership transition from founding CEO Prosky to Chairman Hanson shows institutional resilience. However, as a company that only IPO'd in 2024, it lacks the multi-decade track record to validate its Just Cause through crisis and leadership transitions. The business model is inherently long-term but strategic differentiation from peers remains underdeveloped.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AHR's purpose of providing quality healthcare environments for aging populations connects to a genuine societal need that transcends quarterly performance [3][5]. The focus on resident care through operating partnerships reflects intentionality beyond profit maximization. The company's inaugural Corporate Responsibility Report demonstrates emerging commitment to ESG values. However, AHR IPO'd only in 2024 and the recent CEO transition (Prosky to Hanson) means the cause has not yet been validated through decades of consistent execution under stable leadership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shows 4.6/5 culture rating, 100% CEO approval, and employees describing leadership as 'approachable and rooted in integrity' [3]. The CEO transition was handled smoothly — Jeff Hanson (already chairman) was elevated to permanent CEO after serving as interim since February 2026, demonstrating board preparedness and succession planning [4]. For a 121-person corporate team, these are strong trust signals, though the founding CEO's medical departure tested the organization's resilience.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AHR competes alongside larger healthcare REITs including Welltower ($173.7B market cap) and Ventas, whose scale and operating capabilities represent legitimate strengths that push AHR to improve. AHR's competitive language focuses on improving portfolio quality, operational execution, and resident care outcomes rather than defeating competitors, reflecting an improvement-oriented mindset consistent with infinite game thinking [2][4].</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AHR is too young as a public company (IPO 2024) to have demonstrated transformative strategic flexibility. The company has grown through acquisitions and international expansion, but has not fundamentally reinvented its business model or abandoned a profitable line of business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AHR raised full-year 2026 guidance with NFFO of $2.03-$2.09/share and same-store NOI growth of 9-12%, signaling confidence in long-term investment [1]. International expansion into the UK and Isle of Man represents a meaningful strategic bet on geographic diversification. Multiple analysts (Bank of America $71, Citi $65, RBC $61, Truist $61) have raised price targets reflecting institutional confidence [6]. However, the CEO transition during the company's second year as public creates leadership uncertainty.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AHR delivered strong Q2 2026 results with revenue of $674.3M and net income of $30.6M, continuing the momentum from Q1 where NFFO surged 31.6% YoY to $0.50/share and same-store NOI grew 12.1% — the ninth consecutive quarter of double-digit growth [1][2]. Full-year 2026 guidance of approximately $2.70B revenue and $108.5-116.5M net income reflects management confidence. The leadership transition from founding CEO Prosky to Chairman Jeff Hanson was executed smoothly, and multiple analysts have raised price targets (Bank of America $71, Citi $65, RBC and Truist $61) [4][6]. The secular aging demographic tailwind provides a multi-decade demand backdrop for senior housing. The company's inaugural CSR and TCFD reports demonstrate emerging ESG commitment, and the FTSE Russell Large Cap index inclusion broadens institutional access [5].</w:t>
      </w:r>
    </w:p>
    <w:p>
      <w:pPr>
        <w:spacing w:after="120"/>
      </w:pPr>
      <w:r>
        <w:rPr>
          <w:rFonts w:ascii="Calibri" w:hAnsi="Calibri"/>
          <w:b w:val="0"/>
          <w:color w:val="3A4A28"/>
          <w:sz w:val="20"/>
        </w:rPr>
        <w:t>The primary concern remains valuation relative to GAAP earnings. At approximately 83x forward P/E and 5.95 PEG ratio, AHR appears expensive on traditional metrics, though these are distorted by REIT accounting where depreciation depresses GAAP earnings far below cash generation (NFFO of $0.50/share in Q1 2026, up 31.6% YoY) [7]. At approximately 23x forward NFFO, the FFO-based valuation is more reasonable but still premium for a healthcare REIT. The $1.00 annual dividend (2.15% yield) represents a significant cut from the pre-IPO $1.60 level, and the 173.7% GAAP payout ratio signals GAAP earnings do not cover the dividend [7]. The CEO transition creates modest leadership uncertainty in the company's second year as a public entity, though Glassdoor reviews remain exceptional. Insider selling of $300.6K with zero purchases over the last 12 months is a weak signal. Rising interest rates could pressure cap rates and acquisition economics, limiting the growth engine.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double-digit same-store NOI growth (12.1% in Q1, ninth consecutive quarter) driven by senior housing occupancy recovery and rate increases as baby boomers enter peak demand years [1]</w:t>
      </w:r>
    </w:p>
    <w:p>
      <w:pPr>
        <w:spacing w:before="40" w:after="40"/>
        <w:ind w:left="283"/>
      </w:pPr>
      <w:r>
        <w:rPr>
          <w:rFonts w:ascii="Calibri" w:hAnsi="Calibri"/>
          <w:b/>
          <w:color w:val="4A6B25"/>
          <w:sz w:val="20"/>
        </w:rPr>
        <w:t xml:space="preserve">2. </w:t>
      </w:r>
      <w:r>
        <w:rPr>
          <w:rFonts w:ascii="Calibri" w:hAnsi="Calibri"/>
          <w:b w:val="0"/>
          <w:color w:val="3A4A28"/>
          <w:sz w:val="20"/>
        </w:rPr>
        <w:t>Analyst price target upgrades from Bank of America ($71), Citi ($65), RBC ($61), and Truist ($61) reflecting growing institutional confidence in the growth trajectory [6]</w:t>
      </w:r>
    </w:p>
    <w:p>
      <w:pPr>
        <w:spacing w:before="40" w:after="40"/>
        <w:ind w:left="283"/>
      </w:pPr>
      <w:r>
        <w:rPr>
          <w:rFonts w:ascii="Calibri" w:hAnsi="Calibri"/>
          <w:b/>
          <w:color w:val="4A6B25"/>
          <w:sz w:val="20"/>
        </w:rPr>
        <w:t xml:space="preserve">3. </w:t>
      </w:r>
      <w:r>
        <w:rPr>
          <w:rFonts w:ascii="Calibri" w:hAnsi="Calibri"/>
          <w:b w:val="0"/>
          <w:color w:val="3A4A28"/>
          <w:sz w:val="20"/>
        </w:rPr>
        <w:t>International portfolio expansion in the UK and Isle of Man providing geographic diversification and access to aging demographics in developed markets with lower competitive intensity than the 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approximately 83x and PEG of 5.95 leave minimal margin of safety on GAAP metrics, creating vulnerability to any deceleration in NOI growth or NFFO trajectory [7]</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founding CEO Danny Prosky (medical leave) to Chairman Jeff Hanson introduces modest leadership uncertainty in the company's second year as a public entity, compounded by zero insider purchases and $300.6K in insider selling [4][6]</w:t>
      </w:r>
    </w:p>
    <w:p>
      <w:pPr>
        <w:spacing w:before="40" w:after="40"/>
        <w:ind w:left="283"/>
      </w:pPr>
      <w:r>
        <w:rPr>
          <w:rFonts w:ascii="Calibri" w:hAnsi="Calibri"/>
          <w:b/>
          <w:color w:val="4A6B25"/>
          <w:sz w:val="20"/>
        </w:rPr>
        <w:t xml:space="preserve">3. </w:t>
      </w:r>
      <w:r>
        <w:rPr>
          <w:rFonts w:ascii="Calibri" w:hAnsi="Calibri"/>
          <w:b w:val="0"/>
          <w:color w:val="3A4A28"/>
          <w:sz w:val="20"/>
        </w:rPr>
        <w:t>Reliance on third-party property operators creates execution risk outside management's direct control, particularly in skilled nursing facilities facing persistent staffing challenges and rising labor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healthcare real estate and in-person senior care are structurally immune to AI disruption. Senior housing communities, skilled nursing facilities, and outpatient medical buildings require physical buildings, staff, and hands-on patient care that AI cannot substitute [3]. The aging U.S. demographic (10,000 baby boomers turning 65 daily) creates secular demand independent of technology trends. AI may modestly improve operational efficiency through occupancy forecasting and asset management dashboards, but cannot replace the physical infrastructure. AI-driven advances in healthcare diagnostics and treatment may actually increase demand for outpatient medical facilities [3]. AI Opportunity (0/1): AHR has implemented AI-enabled asset management dashboards for internal portfolio analytics, but generates no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American Healthcare REIT Q1 2026 Earnings — NFFO $0.50/share (+31.6% YoY), Revenue $650.8M, Same-Store NOI +12.1%, May 2026</w:t>
      </w:r>
    </w:p>
    <w:p>
      <w:pPr>
        <w:spacing w:before="20" w:after="20"/>
        <w:ind w:left="170"/>
      </w:pPr>
      <w:r>
        <w:rPr>
          <w:rFonts w:ascii="Calibri" w:hAnsi="Calibri"/>
          <w:b/>
          <w:color w:val="4A6B25"/>
          <w:sz w:val="15"/>
        </w:rPr>
        <w:t xml:space="preserve">2. </w:t>
      </w:r>
      <w:r>
        <w:rPr>
          <w:rFonts w:ascii="Calibri" w:hAnsi="Calibri"/>
          <w:b w:val="0"/>
          <w:color w:val="3A4A28"/>
          <w:sz w:val="17"/>
        </w:rPr>
        <w:t>American Healthcare REIT Q2 2026 Earnings — Revenue $674.3M, Net Income $30.6M, Diluted EPS $0.16, SEC 8-K, July 2026</w:t>
      </w:r>
    </w:p>
    <w:p>
      <w:pPr>
        <w:spacing w:before="20" w:after="20"/>
        <w:ind w:left="170"/>
      </w:pPr>
      <w:r>
        <w:rPr>
          <w:rFonts w:ascii="Calibri" w:hAnsi="Calibri"/>
          <w:b/>
          <w:color w:val="4A6B25"/>
          <w:sz w:val="15"/>
        </w:rPr>
        <w:t xml:space="preserve">3. </w:t>
      </w:r>
      <w:r>
        <w:rPr>
          <w:rFonts w:ascii="Calibri" w:hAnsi="Calibri"/>
          <w:b w:val="0"/>
          <w:color w:val="3A4A28"/>
          <w:sz w:val="17"/>
        </w:rPr>
        <w:t>Glassdoor Employee Reviews and Company Website — 4.6/5 Culture, 100% CEO Approval, AI Asset Management Dashboards,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American Healthcare REIT Leadership Transition — Jeff Hanson Appointed Permanent CEO, Danny Prosky Medical Leave, TipRanks/Yahoo Finance, 2026</w:t>
      </w:r>
    </w:p>
    <w:p>
      <w:pPr>
        <w:spacing w:before="20" w:after="20"/>
        <w:ind w:left="170"/>
      </w:pPr>
      <w:r>
        <w:rPr>
          <w:rFonts w:ascii="Calibri" w:hAnsi="Calibri"/>
          <w:b/>
          <w:color w:val="4A6B25"/>
          <w:sz w:val="15"/>
        </w:rPr>
        <w:t xml:space="preserve">5. </w:t>
      </w:r>
      <w:r>
        <w:rPr>
          <w:rFonts w:ascii="Calibri" w:hAnsi="Calibri"/>
          <w:b w:val="0"/>
          <w:color w:val="3A4A28"/>
          <w:sz w:val="17"/>
        </w:rPr>
        <w:t>American Healthcare REIT Inaugural Corporate Responsibility Report and TCFD Report — LEED HQ, DEI Initiative, GHG Inventory, September 2025</w:t>
      </w:r>
    </w:p>
    <w:p>
      <w:pPr>
        <w:spacing w:before="20" w:after="20"/>
        <w:ind w:left="170"/>
      </w:pPr>
      <w:r>
        <w:rPr>
          <w:rFonts w:ascii="Calibri" w:hAnsi="Calibri"/>
          <w:b/>
          <w:color w:val="4A6B25"/>
          <w:sz w:val="15"/>
        </w:rPr>
        <w:t xml:space="preserve">6. </w:t>
      </w:r>
      <w:r>
        <w:rPr>
          <w:rFonts w:ascii="Calibri" w:hAnsi="Calibri"/>
          <w:b w:val="0"/>
          <w:color w:val="3A4A28"/>
          <w:sz w:val="17"/>
        </w:rPr>
        <w:t>Insider Trading and Analyst Targets — Zero purchases, $300.6K selling, BofA $71, Citi $65, RBC/Truist $61, MarketBeat/StockAnalysis, September 2026</w:t>
      </w:r>
    </w:p>
    <w:p>
      <w:pPr>
        <w:spacing w:before="20" w:after="20"/>
        <w:ind w:left="170"/>
      </w:pPr>
      <w:r>
        <w:rPr>
          <w:rFonts w:ascii="Calibri" w:hAnsi="Calibri"/>
          <w:b/>
          <w:color w:val="4A6B25"/>
          <w:sz w:val="15"/>
        </w:rPr>
        <w:t xml:space="preserve">7. </w:t>
      </w:r>
      <w:r>
        <w:rPr>
          <w:rFonts w:ascii="Calibri" w:hAnsi="Calibri"/>
          <w:b w:val="0"/>
          <w:color w:val="3A4A28"/>
          <w:sz w:val="17"/>
        </w:rPr>
        <w:t>StockAnalysis.com / Yahoo Finance — AHR Key Statistics, D/E 48%, ROE 3.49%, Market Cap $9.1B,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