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AIG</w:t>
      </w:r>
      <w:r>
        <w:rPr>
          <w:rFonts w:ascii="Calibri" w:hAnsi="Calibri"/>
          <w:b/>
          <w:color w:val="1A2010"/>
          <w:sz w:val="40"/>
        </w:rPr>
        <w:t xml:space="preserve">  American International Group, Inc.</w:t>
      </w:r>
    </w:p>
    <w:p>
      <w:pPr>
        <w:spacing w:after="120"/>
      </w:pPr>
      <w:r>
        <w:rPr>
          <w:rFonts w:ascii="Calibri" w:hAnsi="Calibri"/>
          <w:b/>
          <w:color w:val="6E8450"/>
          <w:sz w:val="18"/>
        </w:rPr>
        <w:t>DIVIDEND SLEEVE · 2026-08-27 · Inspire: -49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Insurance - Diversified · NYSE · United States</w:t>
      </w:r>
    </w:p>
    <w:p>
      <w:pPr>
        <w:spacing w:after="80"/>
      </w:pPr>
      <w:r>
        <w:rPr>
          <w:rFonts w:ascii="Calibri" w:hAnsi="Calibri"/>
          <w:b w:val="0"/>
          <w:color w:val="3A4A28"/>
          <w:sz w:val="20"/>
        </w:rPr>
        <w:t>American International Group provides commercial, institutional, and individual insurance products globally across property, casualty, specialty, and personal lines. Following the Corebridge Financial separation, AIG is focused on commercial and specialty insurance with operations in North America and internationally. CEO Eric Andersen assumed leadership June 1, 2026, succeeding Peter Zaffino who transitioned to Executive Chairman. Q1 2026 delivered adjusted EPS of $2.11 (+80% YoY) with net premiums written up 24%, and Q2 2026 continued with $686M underwriting income (+10% YoY) and core operating ROE of 11.1%. AIG reaffirmed Investor Day targets including &gt;20% operating EPS CAGR through 2027. Founded in 1919, headquartered in New York.</w:t>
      </w:r>
    </w:p>
    <w:p>
      <w:r>
        <w:rPr>
          <w:rFonts w:ascii="Calibri" w:hAnsi="Calibri"/>
          <w:b/>
          <w:color w:val="6E8450"/>
          <w:sz w:val="18"/>
        </w:rPr>
        <w:t>22,100 Employees · https://www.aig.com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AIG completed the transformative Corebridge Financial separation, delivered $500M+ in annual run-rate savings through AIG Next, and formed the innovative Syndicate 2479 partnership with Blackstone and Amwins for E&amp;S business [1]. These represent significant structural transformations that fundamentally reshaped the company from a sprawling conglomerate to a focused commercial insurer. AI Deployment (2/2): AIG appointed Scott Hallworth as Chief Digital Officer and opened a new Atlanta Innovation Hub to house 1,000+ colleagues focused on data engineering and AI operations, with 600+ new roles planned over five years [2]. The company is building an 'agentic GenAI ecosystem' integrating AI into core underwriting, claims processing, and submission review at scale. Q2 2026 combined ratio of 88.1% and underwriting income of $686M (+10% YoY) partly reflect AI-enhanced risk selection [1]. Market Share (1/2): AIG remains a major global commercial insurer with $40B+ market cap, and Q1 2026 net premiums written grew 24% YoY (18% constant currency), but this reflects recovery from Corebridge-related structural changes rather than purely organic share gains [1]. Pipeline (1/2): Syndicate 2479, CVC secondaries platform, and minority stakes (Convex/Onex) represent strategic growth initiatives with Investor Day targets of &gt;20% EPS CAGR through 2027, but specific product-level revenue timelines remain vague [1]. R&amp;D Intensity (0/1): Traditional insurance company with no meaningful R&amp;D spend; innovation comes through AI partnerships and operational technology investments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AIG's mission focuses on providing 'insurance products and services of superior quality and value' with core values of Excellence, Client Focus, and Integrity — generic and interchangeable with any major insurer [2]. The company has no distinctive vision of a better future beyond operational excellence and profitable growth. Community Impact (1/2): AIG donated $15.5M+ to nonprofits in 2025, offers a 2:1 employee donation match up to $10K/year, provides 16 hours paid volunteer time, and logged 43,000+ hours of volunteerism [3]. This represents general corporate philanthropy with specific programs and dollar amounts, but not distinctive community investment. Employee Retention (0/2): Glassdoor rating of 3.6/5 with only 64% recommending to a friend and 61% positive business outlook is below average for a Fortune 100 company [2]. Reviews cite perpetual reorganizations, layoffs, and management quality issues. Culture &amp; Values score of 3.4/5 is mediocre. No specific retention or tenure data supports a positive score. Insider Buying (0/2): Executive Chairman Peter Zaffino sold 236,829 shares for approximately $18.1M in August 2026 under a Rule 10b5-1 plan, representing significant net insider selling [4]. Over the past year, Zaffino has sold $18M+ and purchased zero shares. No meaningful net insider buying from any executive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all 10 dividend-weighted metrics. D/E of 22% is deeply conservative, scoring 1.0 (1x weight) [5]. Forward P/E of 9.18x is the standout metric — deeply discounted below the 20 target, scoring 1.0 [5]. The AIG turnaround is most visible in revenue growth: Q1 2026 NPW up 24% YoY and Q2 underwriting income up 10%, resulting in estimated TTM revenue growth of ~10% (score 1.0), a major improvement from the -2% in the prior screen [1]. The 5-year revenue CAGR remains deeply negative (~-9%) due to Corebridge deconsolidation distortion (score 0). ROE of 7.22% is below the 15% target (score 0.48), though core operating ROE of 11.1% in Q2 2026 shows improvement [1]. Profit margin of 11.09% scores 0.55, typical for insurance. Dividend metrics are solid: payout ratio 36.76% (score 1.0), 13 consecutive years paid (score 1.0, 2x weight), 5-year dividend growth CAGR of approximately 9% (score 1.0, 2x weight). Only the 3 consecutive years of growth (score 0.3) drags dividend metrics. Weighted sum: 9.34 / max 12 = 7.78, rounds to 8. Liquidity: 2.87M shares x $76.97 = $221M daily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AIG operates with a predominantly finite mindset — optimizing for quarterly earnings targets, executing serial restructurings, and managing constant leadership transitions. The CEO change from Zaffino to Andersen on June 1, 2026 is the latest in a pattern of transformation-driven leadership rotation. While the Corebridge separation and AI investments show strategic evolution, the company's culture of perpetual reorgs, low employee trust (3.6 Glassdoor), Executive Chairman Zaffino's $18M stock sale two months after transitioning roles, and generic corporate purpose signal a company focused on financial engineering rather than enduring purpose. The 107-year history provides institutional continuity but not a Just Cause.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AIG's purpose of providing insurance solutions of 'superior quality and value' is generic and interchangeable with any major insurer [2]. There is no articulated vision of a future state beyond profitable growth and operational excellence. The company's 107-year history provides institutional continuity, but the mission has not shaped strategic decisions in a distinctive way — Corebridge separation, AIG Next, and AI partnerships are all driven by financial imperatives and shareholder pressure rather than purpose. New CEO Andersen has not yet articulated a distinctive vision beyond executing the existing transformation playbook.</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AIG's employee culture shows significant challenges. Glassdoor overall rating is 3.6/5 with Culture &amp; Values at just 3.4/5, and only 64% would recommend the company — below average for a Fortune 100 firm [2]. Reviews describe perpetual reorganizations, layoff cycles, and management quality concerns. The CEO transition from Zaffino to Andersen on June 1, 2026 adds another layer of leadership change. Executive Chairman Zaffino's $18M stock sale in August 2026 — just two months after handing over the CEO role — sends a negative signal about long-term commitment [4]. The Atlanta Innovation Hub hiring 1,000+ people while other teams face restructuring creates an uneven trust environment.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AIG acknowledging competitors' strengths or adopting an infinite competitive mindset. Management commentary emphasizes AIG's own turnaround narrative and operational metrics (combined ratio, ROE targets) without constructively engaging with what peers like Chubb, Travelers, or Munich Re do better [2]. The competitive language focuses on AIG's own transformation rather than learning from rivals' strengths.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Corebridge Financial separation fundamentally reshaped AIG from a sprawling conglomerate to a focused commercial insurer — this was a genuine strategic pivot that required abandoning a profitable business line. Syndicate 2479 with Blackstone/Amwins and the AI-focused Atlanta Innovation Hub represent further business model evolution [1][2]. However, these pivots were driven by financial pressure, activist investor demands, and the lingering 2008 crisis legacy rather than a Just Cause. The evolution has been forced rather than inspired.</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Corebridge separation was a courageous decision — divesting a major, profitable business unit to focus on commercial insurance and simplify the portfolio. AIG Next delivered $500M+ in savings through difficult workforce decisions. The commitment to &gt;20% EPS CAGR and 10%+ annual dividend growth represents bold public targets [1]. New CEO Andersen brings 30 years of Aon experience that grew market value from $35B to $85B, suggesting a proven operational leader. However, constant restructuring and the leadership transition suggest reactive management rather than proactive cause-driven leadership.</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AIG is a transformed commercial insurer trading at a deep discount — 9.18x forward P/E with reaffirmed &gt;20% operating EPS CAGR target through 2027, implying significant undervaluation if execution continues [1][5]. Q1 2026 delivered an 80% adjusted EPS increase to $2.11 with underwriting income tripling to $774M, and Q2 2026 confirmed the trajectory with $686M underwriting income (+10% YoY), core operating ROE of 11.1%, and an excellent 88.1% combined ratio [1]. Capital return is aggressive: AIG returned $760M to shareholders in Q1 alone ($519M buybacks + $241M dividends), with a 12% dividend increase to $2.00 annualized. D/E of 22% provides a fortress balance sheet, and the 5-year transformation from the post-crisis era is producing visible financial results. New CEO Eric Andersen, who helped grow Aon from $35B to $85B market value, brings proven operational execution capabilities [2].</w:t>
      </w:r>
    </w:p>
    <w:p>
      <w:pPr>
        <w:spacing w:after="120"/>
      </w:pPr>
      <w:r>
        <w:rPr>
          <w:rFonts w:ascii="Calibri" w:hAnsi="Calibri"/>
          <w:b w:val="0"/>
          <w:color w:val="3A4A28"/>
          <w:sz w:val="20"/>
        </w:rPr>
        <w:t>The bear case centers on cultural dysfunction, leadership transition risk, and structural headwinds. ROE of 7.22% remains below peer averages despite the 10%+ core operating ROE target, and the 5-year revenue CAGR of approximately -9% — while distorted by Corebridge separation — reflects a company that structurally shrank before recent growth reaccelerated [5]. Glassdoor's 3.6/5 rating with Culture &amp; Values at 3.4/5 and only 64% recommending the company suggests deep organizational challenges that AI tools alone cannot fix [2]. Executive Chairman Zaffino's $18.1M stock sale in August 2026 — just two months after handing CEO duties to Andersen — is a concerning signal about near-term conviction from the architect of AIG's transformation [4]. Andersen's transition from a brokerage (Aon) to an underwriting company introduces execution risk at a critical moment. AIG remains a significant insurer of fossil fuel operations, creating ESG, regulatory, and catastrophe concentration risk as climate policies tighten and climate-related losses accelerate [3]. The Inspire Impact Score of -49 (MISALIGNED) limits allocation for faith-based investors. The stock's -7% 52-week decline despite strong earnings suggests the market is pricing in structural concerns beyond the headline numbers.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CEO Eric Andersen's operational execution — his Aon playbook that grew market value from $35B to $85B could drive similar value creation at AIG, with reaffirmed &gt;20% EPS CAGR and 10-13% core operating ROE targets through 2027 [1][2]</w:t>
      </w:r>
    </w:p>
    <w:p>
      <w:pPr>
        <w:spacing w:before="40" w:after="40"/>
        <w:ind w:left="283"/>
      </w:pPr>
      <w:r>
        <w:rPr>
          <w:rFonts w:ascii="Calibri" w:hAnsi="Calibri"/>
          <w:b/>
          <w:color w:val="4A6B25"/>
          <w:sz w:val="20"/>
        </w:rPr>
        <w:t xml:space="preserve">2. </w:t>
      </w:r>
      <w:r>
        <w:rPr>
          <w:rFonts w:ascii="Calibri" w:hAnsi="Calibri"/>
          <w:b w:val="0"/>
          <w:color w:val="3A4A28"/>
          <w:sz w:val="20"/>
        </w:rPr>
        <w:t>AI-driven underwriting efficiency via the Atlanta Innovation Hub (1,000+ colleagues, 600+ new AI roles, CDO Scott Hallworth leading agentic GenAI) targeting scalable AI-enhanced risk selection that sustains sub-89% combined ratios [2]</w:t>
      </w:r>
    </w:p>
    <w:p>
      <w:pPr>
        <w:spacing w:before="40" w:after="40"/>
        <w:ind w:left="283"/>
      </w:pPr>
      <w:r>
        <w:rPr>
          <w:rFonts w:ascii="Calibri" w:hAnsi="Calibri"/>
          <w:b/>
          <w:color w:val="4A6B25"/>
          <w:sz w:val="20"/>
        </w:rPr>
        <w:t xml:space="preserve">3. </w:t>
      </w:r>
      <w:r>
        <w:rPr>
          <w:rFonts w:ascii="Calibri" w:hAnsi="Calibri"/>
          <w:b w:val="0"/>
          <w:color w:val="3A4A28"/>
          <w:sz w:val="20"/>
        </w:rPr>
        <w:t>Capital return acceleration — $760M returned in Q1 2026, 12% dividend increase, aggressive buybacks reducing share count at 9.18x forward P/E where each repurchased dollar buys meaningful earnings accretion [1][5]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Executive Chairman Zaffino's $18.1M stock sale in August 2026 signals potential concern about near-term valuation from the architect of AIG's transformation, while new CEO Andersen's transition from brokerage (Aon) to underwriting (AIG) carries execution risk [4]</w:t>
      </w:r>
    </w:p>
    <w:p>
      <w:pPr>
        <w:spacing w:before="40" w:after="40"/>
        <w:ind w:left="283"/>
      </w:pPr>
      <w:r>
        <w:rPr>
          <w:rFonts w:ascii="Calibri" w:hAnsi="Calibri"/>
          <w:b/>
          <w:color w:val="4A6B25"/>
          <w:sz w:val="20"/>
        </w:rPr>
        <w:t xml:space="preserve">2. </w:t>
      </w:r>
      <w:r>
        <w:rPr>
          <w:rFonts w:ascii="Calibri" w:hAnsi="Calibri"/>
          <w:b w:val="0"/>
          <w:color w:val="3A4A28"/>
          <w:sz w:val="20"/>
        </w:rPr>
        <w:t>Cultural dysfunction — 3.6 Glassdoor rating, 3.4 Culture &amp; Values score, perpetual reorgs and layoff cycles may impair ability to execute AI transformation and retain talent needed for the Atlanta Innovation Hub's 1,000+ person expansion [2]</w:t>
      </w:r>
    </w:p>
    <w:p>
      <w:pPr>
        <w:spacing w:before="40" w:after="40"/>
        <w:ind w:left="283"/>
      </w:pPr>
      <w:r>
        <w:rPr>
          <w:rFonts w:ascii="Calibri" w:hAnsi="Calibri"/>
          <w:b/>
          <w:color w:val="4A6B25"/>
          <w:sz w:val="20"/>
        </w:rPr>
        <w:t xml:space="preserve">3. </w:t>
      </w:r>
      <w:r>
        <w:rPr>
          <w:rFonts w:ascii="Calibri" w:hAnsi="Calibri"/>
          <w:b w:val="0"/>
          <w:color w:val="3A4A28"/>
          <w:sz w:val="20"/>
        </w:rPr>
        <w:t>Fossil fuel underwriting exposure and climate catastrophe risk — AIG remains a significant global oil &amp; gas insurer, and increasing climate-related losses could impair underwriting results while ESG scrutiny creates reputational and regulatory headwinds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Insurance is a deeply regulated, capital-intensive industry with physical-world loss exposure that AI cannot eliminate — catastrophe risk, liability claims, and regulatory compliance require human judgment and institutional expertise [2]. AIG's commercial and specialty lines involve complex, bespoke underwriting for large enterprises and multinational risks that resist pure automation. However, InsurTech competitors and AI-powered underwriting platforms create meaningful disruption risk for traditional distribution and simple-lines underwriting. AI may compress margins on commoditized commercial products while enhancing specialty capabilities. The regulatory moat remains high — insurance licenses, capital requirements, and claims-paying capacity create barriers that AI startups cannot easily overcome. AI Opportunity (1/1): AIG generates direct operational value from AI — the Atlanta Innovation Hub is building an 'agentic GenAI ecosystem' for underwriting submission review, claims automation, and risk assessment at scale [2]. CDO Scott Hallworth is leading a 1,000+ person digital/AI operation. Q2 2026 combined ratio of 88.1% and underwriting income growth reflect AI-enhanced efficiency contributing to measurable operational results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Systemic Risk Mitigation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AIG Q1 and Q2 2026 Earnings — Q1 Adjusted EPS $2.11 (+80% YoY), Underwriting Income $774M, NPW +24% YoY; Q2 Underwriting Income $686M (+10%), Core Operating ROE 11.1%, Combined Ratio 88.1%, &gt;20% EPS CAGR Reaffirmed, SEC/GuruFocus/Yahoo Finance, May-July 2026</w:t>
      </w:r>
    </w:p>
    <w:p>
      <w:pPr>
        <w:spacing w:before="20" w:after="20"/>
        <w:ind w:left="170"/>
      </w:pPr>
      <w:r>
        <w:rPr>
          <w:rFonts w:ascii="Calibri" w:hAnsi="Calibri"/>
          <w:b/>
          <w:color w:val="4A6B25"/>
          <w:sz w:val="15"/>
        </w:rPr>
        <w:t xml:space="preserve">2. </w:t>
      </w:r>
      <w:r>
        <w:rPr>
          <w:rFonts w:ascii="Calibri" w:hAnsi="Calibri"/>
          <w:b w:val="0"/>
          <w:color w:val="3A4A28"/>
          <w:sz w:val="17"/>
        </w:rPr>
        <w:t>AIG CEO Transition and AI Strategy — Eric Andersen CEO (June 1, 2026), Peter Zaffino Executive Chairman, CDO Scott Hallworth, Atlanta Innovation Hub 1,000+ Roles, Agentic GenAI Ecosystem, CIO Dive/Time/AIG Newsroom, 2025-2026</w:t>
      </w:r>
    </w:p>
    <w:p>
      <w:pPr>
        <w:spacing w:before="20" w:after="20"/>
        <w:ind w:left="170"/>
      </w:pPr>
      <w:r>
        <w:rPr>
          <w:rFonts w:ascii="Calibri" w:hAnsi="Calibri"/>
          <w:b/>
          <w:color w:val="4A6B25"/>
          <w:sz w:val="15"/>
        </w:rPr>
        <w:t xml:space="preserve">3. </w:t>
      </w:r>
      <w:r>
        <w:rPr>
          <w:rFonts w:ascii="Calibri" w:hAnsi="Calibri"/>
          <w:b w:val="0"/>
          <w:color w:val="3A4A28"/>
          <w:sz w:val="17"/>
        </w:rPr>
        <w:t>AIG ESG Profile — $15.5M Charitable Donations, Fossil Fuel Underwriting Criticism, Sustainalytics Medium ESG Risk, Insure Our Future Analysis, 2022-2026</w:t>
      </w:r>
    </w:p>
    <w:p>
      <w:pPr>
        <w:spacing w:before="20" w:after="20"/>
        <w:ind w:left="170"/>
      </w:pPr>
      <w:r>
        <w:rPr>
          <w:rFonts w:ascii="Calibri" w:hAnsi="Calibri"/>
          <w:b/>
          <w:color w:val="4A6B25"/>
          <w:sz w:val="15"/>
        </w:rPr>
        <w:t xml:space="preserve">4. </w:t>
      </w:r>
      <w:r>
        <w:rPr>
          <w:rFonts w:ascii="Calibri" w:hAnsi="Calibri"/>
          <w:b w:val="0"/>
          <w:color w:val="3A4A28"/>
          <w:sz w:val="17"/>
        </w:rPr>
        <w:t>AIG Insider Trading — Executive Chairman Peter Zaffino Sold 236,829 Shares ($18.1M) at $76.42 in August 2026 Under 10b5-1 Plan, GuruFocus/MarketBeat/Investing.com, August 2026</w:t>
      </w:r>
    </w:p>
    <w:p>
      <w:pPr>
        <w:spacing w:before="20" w:after="20"/>
        <w:ind w:left="170"/>
      </w:pPr>
      <w:r>
        <w:rPr>
          <w:rFonts w:ascii="Calibri" w:hAnsi="Calibri"/>
          <w:b/>
          <w:color w:val="4A6B25"/>
          <w:sz w:val="15"/>
        </w:rPr>
        <w:t xml:space="preserve">5. </w:t>
      </w:r>
      <w:r>
        <w:rPr>
          <w:rFonts w:ascii="Calibri" w:hAnsi="Calibri"/>
          <w:b w:val="0"/>
          <w:color w:val="3A4A28"/>
          <w:sz w:val="17"/>
        </w:rPr>
        <w:t>StockAnalysis.com, Yahoo Finance — AIG Key Statistics: Forward P/E 9.18x, PEG 1.64, ROE 7.22%, D/E 22%, Profit Margin 11.09%, Dividend Yield 2.60%, Stock Price $76.97,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