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AII</w:t>
      </w:r>
      <w:r>
        <w:rPr>
          <w:rFonts w:ascii="Calibri" w:hAnsi="Calibri"/>
          <w:b/>
          <w:color w:val="1A2010"/>
          <w:sz w:val="40"/>
        </w:rPr>
        <w:t xml:space="preserve">  American Integrity Insurance Group, Inc.</w:t>
      </w:r>
    </w:p>
    <w:p>
      <w:pPr>
        <w:spacing w:after="120"/>
      </w:pPr>
      <w:r>
        <w:rPr>
          <w:rFonts w:ascii="Calibri" w:hAnsi="Calibri"/>
          <w:b/>
          <w:color w:val="6E8450"/>
          <w:sz w:val="18"/>
        </w:rPr>
        <w:t>GROWTH SLEEVE · 2026-10-10 · Inspire: 25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Insurance - Property &amp; Casualty · NYSE · United States</w:t>
      </w:r>
    </w:p>
    <w:p>
      <w:pPr>
        <w:spacing w:after="80"/>
      </w:pPr>
      <w:r>
        <w:rPr>
          <w:rFonts w:ascii="Calibri" w:hAnsi="Calibri"/>
          <w:b w:val="0"/>
          <w:color w:val="3A4A28"/>
          <w:sz w:val="20"/>
        </w:rPr>
        <w:t>American Integrity Insurance Group, Inc. operates as a property and casualty insurance company primarily in Florida, offering personal residential property insurance for single-family homeowners, condominium owners, manufactured homes, vacant dwellings, and investment properties. The company also provides commercial residential, dwelling property, specialty insurance, and flood insurance products distributed through independent agents and direct-to-consumer channels. In-force premium crossed $1 billion for the first time in Q2 2026, with total revenues surging 54.6% YoY to $115.2M and Q2 2026 net income of $34.1M ($1.74 per diluted share).</w:t>
      </w:r>
    </w:p>
    <w:p>
      <w:r>
        <w:rPr>
          <w:rFonts w:ascii="Calibri" w:hAnsi="Calibri"/>
          <w:b/>
          <w:color w:val="6E8450"/>
          <w:sz w:val="18"/>
        </w:rPr>
        <w:t>313 Employees · https://www.aii.com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American Integrity delivered record voluntary new business growth of 54% YoY in Q2 2026, with in-force premium crossing $1 billion for the first time and gross premiums written growing 14% to $327M [1]. The company expanded from a Florida homeowners-only insurer into commercial residential, manufactured home, and specialty lines, and completed its IPO as peers like FedNat, Weston, and UPC went insolvent. AI Deployment (0/2): The company employs a VP of Innovations &amp; Data leading business intelligence and data analytics, and uses AI-powered underwriting and claims processing systems, but no specific AI products or quantified AI savings have been disclosed [2]. Market Share (1/2): Crossing $1 billion in-force premium with record 54% voluntary new business growth establishes American Integrity as one of the fastest-growing Florida property insurers, though the Florida P&amp;C market remains highly fragmented [1]. Pipeline (1/2): Q2 2026 earnings beat consensus by nearly 2x ($1.74 vs $0.81 estimate), and the company's new business pipeline provides forward visibility, though no specific product launches have been announced [1]. R&amp;D Intensity (0/1): Insurance companies do not conduct traditional R&amp;D; technology investment is at levels typical for a mid-size insurer.</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American Integrity's core values — integrity, commitment, teamwork, humility, passion and fun — are embedded in a servant leadership philosophy where leaders serve others rather than dictate [2]. The company name itself signals intentionality about ethical conduct. The purpose is genuine but does not articulate a transformative vision beyond being an excellent insurance company. Community Impact (1/2): Recognized as a USA Today Top Workplaces USA for four consecutive years, Tampa Bay Times Top Workplace for 10 years, and Best Places to Work in Insurance for 11 consecutive years [2]. VP of Claims Trevor McDonald was named PropertyCasualty360's 2026 Claims Leader of the Year. Employee Retention (2/2): Exceptional workplace recognition — 11 consecutive years as Best Places to Work in Insurance, 10 consecutive years as Tampa Bay Times Top Workplace, and inaugural America's Best Workplaces honoree validates sustained organizational health [2]. The servant leadership culture and weekly Friday leadership meetings where 'there is no room for ego' demonstrate institutional commitment. Insider Buying (1/2): Significant insider buying in 2026 — 10% beneficial owner James Sowell purchased 136,356 shares ($2.3M), Chairman David Clark bought 5,830 shares ($100K), and multiple directors purchased shares with no insider sales recorded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American Integrity's financials are exceptionally strong across every measured dimension as a Growth stock. D/E of 9.06% reflects minimal leverage with $293M in cash against $33.5M in total debt [1]. ROE of 26.24% significantly exceeds the 15% target (score 1.0, 2x weight). Revenue growth of 54.6% YoY in Q2 2026 far exceeds the 10% target, driven by in-force premium crossing $1 billion [1]. Revenue CAGR of approximately 17% over the past two years (2023-2025: $200.9M to $276.5M) also exceeds targets (2x weight). Forward P/E of 8.26x is extraordinarily low for a rapidly growing insurer, well below the 20x target. Profit margin of 26.2% exceeds the 20% target. All available metrics score at or near ceiling, producing a perfect Infrastructure score. Liquidity floor cleared: 169,434 avg daily volume x $26.77 = $4.53M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American Integrity demonstrates genuine infinite-game qualities through its servant leadership philosophy, exceptional 10+ year workplace recognition streak, and consistent cultural values under founder-CEO Bob Ritchie's 20-year tenure. The December 2024 appointment of Jon Ritchie as President shows deliberate succession planning. However, concentration in Florida property insurance limits strategic flexibility, and the company's competitive language emphasizes execution over learning from rivals.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American Integrity's servant leadership philosophy and deeply embedded core values represent a genuine purpose beyond profit [2]. CEO Bob Ritchie has maintained these values consistently since founding the company in 2006, and 11 consecutive years of workplace awards validate that the culture is lived, not merely stated. The Friday leadership meetings where 'there is no room for ego' suggest purpose-driven organizational behavior. However, the cause — being an ethical, people-first insurer — is about how they operate rather than a transformative vision of a better future.</w:t>
      </w:r>
    </w:p>
    <w:p>
      <w:pPr>
        <w:spacing w:before="200" w:after="40"/>
      </w:pPr>
      <w:r>
        <w:rPr>
          <w:rFonts w:ascii="Calibri" w:hAnsi="Calibri"/>
          <w:b/>
          <w:color w:val="1A2010"/>
          <w:sz w:val="22"/>
        </w:rPr>
        <w:t>Trusting Teams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(2/2): Exceptional evidence of a high-trust organization. Eleven consecutive years as Best Places to Work in Insurance, 10 consecutive years as Tampa Bay Times Top Workplace, USA Today Top Workplaces for four straight years, and inaugural America's Best Workplaces recognition [2]. VP of Claims Trevor McDonald won PropertyCasualty360's 2026 Claims Leader of the Year, reflecting leadership development at all levels. The servant leadership model and weekly collaborative problem-solving meetings create strong psychological safety across this 313-employee organization.</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management referencing competitors' strengths as motivation for improvement. American Integrity competes in Florida's fragmented property insurance market against Citizens, Heritage, and HCI Group, but management commentary focuses on rate adequacy, loss ratios, and market opportunities rather than competitive learning [1].</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American Integrity expanded from its original homeowners-only focus into commercial residential, manufactured home, dwelling property, and specialty insurance products [1]. The December 2024 appointment of Jon Ritchie as President with Bob Ritchie remaining as CEO shows structured succession flexibility. However, the company remains concentrated exclusively in Florida, and the core business model — underwriting property risk in a single catastrophe-exposed state — has not changed.</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American Integrity demonstrated courage by continuing to write Florida homeowners insurance aggressively during 2022-2023 when multiple Florida carriers went insolvent, maintaining rate discipline and underwriting standards rather than retreating from the market [1]. The company grew premiums while competitors fled, achieving record 54% voluntary new business growth in Q2 2026. The IPO and leadership succession planning reflect long-term thinking, though these represent rational business decisions in a favorable market environment.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American Integrity is delivering exceptional execution in Florida's hardening property insurance market, with Q2 2026 revenue surging 54.6% YoY to $115.2M and net income of $34.1M ($1.74 EPS) crushing the $0.81 consensus estimate [1]. In-force premium crossed $1 billion for the first time, ROE stands at 26.24%, and the balance sheet carries minimal leverage with D/E of 9.06% and $293M in cash [1]. Forward P/E of 8.26x is extraordinarily low for a company growing revenue over 50%, offering significant valuation upside if execution continues. The servant leadership culture, validated by 11 consecutive years of workplace awards, creates a durable organizational advantage [2]. Significant insider buying — $2.5M+ in purchases by the 10% owner and multiple directors with no insider sales — signals leadership conviction at current levels [3].</w:t>
      </w:r>
    </w:p>
    <w:p>
      <w:pPr>
        <w:spacing w:after="120"/>
      </w:pPr>
      <w:r>
        <w:rPr>
          <w:rFonts w:ascii="Calibri" w:hAnsi="Calibri"/>
          <w:b w:val="0"/>
          <w:color w:val="3A4A28"/>
          <w:sz w:val="20"/>
        </w:rPr>
        <w:t>The bear case centers on catastrophe concentration and the immutability of Florida hurricane risk. American Integrity writes exclusively in Florida, meaning a single Category 4+ storm hitting Tampa Bay could generate losses exceeding the company's equity base [1]. Earnings lumpiness is inherent in property insurance — a single storm can erase multiple years of profit. Florida's politically volatile insurance regulatory environment could change litigation rules, building codes, or reinsurance requirements unpredictably. The company's rapid growth (54% new business growth) may be outrunning its ability to adequately price risk, and the Q1 2026 loss ratio deterioration from 30.9% to 37.3% could signal adverse development [1]. Geographic concentration means the company cannot diversify away from Florida hurricane risk, and climate change may increase storm frequency and severity over the long term. With a $525M market cap and only 313 employees, organizational depth remains limited.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In-force premium crossed $1 billion for the first time with 54% voluntary new business growth and gross premiums written of $327M in Q2, providing substantial revenue momentum into H2 2026 and beyond [1]</w:t>
      </w:r>
    </w:p>
    <w:p>
      <w:pPr>
        <w:spacing w:before="40" w:after="40"/>
        <w:ind w:left="283"/>
      </w:pPr>
      <w:r>
        <w:rPr>
          <w:rFonts w:ascii="Calibri" w:hAnsi="Calibri"/>
          <w:b/>
          <w:color w:val="4A6B25"/>
          <w:sz w:val="20"/>
        </w:rPr>
        <w:t xml:space="preserve">2. </w:t>
      </w:r>
      <w:r>
        <w:rPr>
          <w:rFonts w:ascii="Calibri" w:hAnsi="Calibri"/>
          <w:b w:val="0"/>
          <w:color w:val="3A4A28"/>
          <w:sz w:val="20"/>
        </w:rPr>
        <w:t>Q2 2026 EPS of $1.74 nearly doubled the $0.81 consensus, with total revenues of $115.2M up 54.6% YoY, triggering analyst estimate revisions and potential multiple expansion from the deeply discounted 8.26x forward P/E [1]</w:t>
      </w:r>
    </w:p>
    <w:p>
      <w:pPr>
        <w:spacing w:before="40" w:after="40"/>
        <w:ind w:left="283"/>
      </w:pPr>
      <w:r>
        <w:rPr>
          <w:rFonts w:ascii="Calibri" w:hAnsi="Calibri"/>
          <w:b/>
          <w:color w:val="4A6B25"/>
          <w:sz w:val="20"/>
        </w:rPr>
        <w:t xml:space="preserve">3. </w:t>
      </w:r>
      <w:r>
        <w:rPr>
          <w:rFonts w:ascii="Calibri" w:hAnsi="Calibri"/>
          <w:b w:val="0"/>
          <w:color w:val="3A4A28"/>
          <w:sz w:val="20"/>
        </w:rPr>
        <w:t>Significant insider buying totaling $2.5M+ in 2026 by 10% beneficial owner Sowell ($2.3M) and multiple board members signals institutional conviction in the stock's undervaluation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Single-state concentration in Florida creates existential hurricane risk — a direct Category 4+ hit on Tampa Bay or Miami metro could generate losses exceeding company equity and threaten solvency [1]</w:t>
      </w:r>
    </w:p>
    <w:p>
      <w:pPr>
        <w:spacing w:before="40" w:after="40"/>
        <w:ind w:left="283"/>
      </w:pPr>
      <w:r>
        <w:rPr>
          <w:rFonts w:ascii="Calibri" w:hAnsi="Calibri"/>
          <w:b/>
          <w:color w:val="4A6B25"/>
          <w:sz w:val="20"/>
        </w:rPr>
        <w:t xml:space="preserve">2. </w:t>
      </w:r>
      <w:r>
        <w:rPr>
          <w:rFonts w:ascii="Calibri" w:hAnsi="Calibri"/>
          <w:b w:val="0"/>
          <w:color w:val="3A4A28"/>
          <w:sz w:val="20"/>
        </w:rPr>
        <w:t>Q1 2026 loss ratio deterioration from 30.9% to 37.3% may signal adverse claims development or inadequate reserves, with rapid 54% new business growth potentially outrunning risk pricing accuracy [1]</w:t>
      </w:r>
    </w:p>
    <w:p>
      <w:pPr>
        <w:spacing w:before="40" w:after="40"/>
        <w:ind w:left="283"/>
      </w:pPr>
      <w:r>
        <w:rPr>
          <w:rFonts w:ascii="Calibri" w:hAnsi="Calibri"/>
          <w:b/>
          <w:color w:val="4A6B25"/>
          <w:sz w:val="20"/>
        </w:rPr>
        <w:t xml:space="preserve">3. </w:t>
      </w:r>
      <w:r>
        <w:rPr>
          <w:rFonts w:ascii="Calibri" w:hAnsi="Calibri"/>
          <w:b w:val="0"/>
          <w:color w:val="3A4A28"/>
          <w:sz w:val="20"/>
        </w:rPr>
        <w:t>Florida's politically volatile insurance regulatory environment could alter litigation rules, rate-setting authority, or reinsurance requirements, disrupting the competitive dynamics currently favoring rate-adequate carriers like American Integrity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Property and casualty insurance in Florida is protected by significant regulatory barriers — state-level licensing, rate filing requirements, statutory capital requirements, and Department of Financial Services oversight create moats that AI-native entrants cannot easily breach [1]. Physical property inspection, hurricane claims adjustment, and local agent relationships add layers of defensibility. However, AI is transforming underwriting, claims processing, and fraud detection across the insurance industry, and AI-native insurtechs (Lemonade, Root, Hippo) demonstrate that technology can compress operating costs. American Integrity's core underwriting function faces partial automation risk, and competitors using AI for superior risk pricing could gain advantages. AI Opportunity (1/1): The company employs AI-powered underwriting and claims processing systems and a VP of Innovations &amp; Data leading business intelligence operations, representing nascent AI-driven value creation within the business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25</w:t>
      </w:r>
      <w:r>
        <w:rPr>
          <w:rFonts w:ascii="Calibri" w:hAnsi="Calibri"/>
          <w:b/>
          <w:color w:val="B8860B"/>
          <w:sz w:val="20"/>
        </w:rPr>
        <w:t xml:space="preserve">    MIXED</w:t>
      </w:r>
    </w:p>
    <w:p>
      <w:pPr>
        <w:spacing w:before="80" w:after="40"/>
      </w:pPr>
      <w:r>
        <w:rPr>
          <w:rFonts w:ascii="Calibri" w:hAnsi="Calibri"/>
          <w:b/>
          <w:color w:val="6E8450"/>
          <w:sz w:val="18"/>
        </w:rPr>
        <w:t xml:space="preserve">Positive: </w:t>
      </w:r>
      <w:r>
        <w:rPr>
          <w:rFonts w:ascii="Calibri" w:hAnsi="Calibri"/>
          <w:b/>
          <w:color w:val="16A34A"/>
          <w:sz w:val="17"/>
        </w:rPr>
        <w:t xml:space="preserve"> Environmental Risk Mitigation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American Integrity Insurance Group Q2 2026 Earnings Release — Record pretax income, $115.2M revenue (+54.6% YoY), $34.1M net income ($1.74 EPS vs $0.81 consensus), in-force premium crossed $1B, gross premiums written $327M (+14%), SEC 8-K filing August 2026</w:t>
      </w:r>
    </w:p>
    <w:p>
      <w:pPr>
        <w:spacing w:before="20" w:after="20"/>
        <w:ind w:left="170"/>
      </w:pPr>
      <w:r>
        <w:rPr>
          <w:rFonts w:ascii="Calibri" w:hAnsi="Calibri"/>
          <w:b/>
          <w:color w:val="4A6B25"/>
          <w:sz w:val="15"/>
        </w:rPr>
        <w:t xml:space="preserve">2. </w:t>
      </w:r>
      <w:r>
        <w:rPr>
          <w:rFonts w:ascii="Calibri" w:hAnsi="Calibri"/>
          <w:b w:val="0"/>
          <w:color w:val="3A4A28"/>
          <w:sz w:val="17"/>
        </w:rPr>
        <w:t>American Integrity Insurance Company Profile — Servant leadership culture, core values, workplace awards (11 consecutive Best Places to Work in Insurance, 10 Tampa Bay Top Workplace), VP Innovations &amp; Data, Jon Ritchie named President December 2024, Trevor McDonald 2026 Claims Leader of Year — aii.com, PropertyCasualty360, 2024-2026</w:t>
      </w:r>
    </w:p>
    <w:p>
      <w:pPr>
        <w:spacing w:before="20" w:after="20"/>
        <w:ind w:left="170"/>
      </w:pPr>
      <w:r>
        <w:rPr>
          <w:rFonts w:ascii="Calibri" w:hAnsi="Calibri"/>
          <w:b/>
          <w:color w:val="4A6B25"/>
          <w:sz w:val="15"/>
        </w:rPr>
        <w:t xml:space="preserve">3. </w:t>
      </w:r>
      <w:r>
        <w:rPr>
          <w:rFonts w:ascii="Calibri" w:hAnsi="Calibri"/>
          <w:b w:val="0"/>
          <w:color w:val="3A4A28"/>
          <w:sz w:val="17"/>
        </w:rPr>
        <w:t>SEC Form 4 Insider Transaction Filings — Sowell $2.3M purchase (136,356 shares), Clark $100K, Mathis $50K, Smathers $49K insider buying, May-June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