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AIOT</w:t>
      </w:r>
      <w:r>
        <w:rPr>
          <w:rFonts w:ascii="Calibri" w:hAnsi="Calibri"/>
          <w:b/>
          <w:color w:val="1A2010"/>
          <w:sz w:val="40"/>
        </w:rPr>
        <w:t xml:space="preserve">  PowerFleet, Inc.</w:t>
      </w:r>
    </w:p>
    <w:p>
      <w:pPr>
        <w:spacing w:after="120"/>
      </w:pPr>
      <w:r>
        <w:rPr>
          <w:rFonts w:ascii="Calibri" w:hAnsi="Calibri"/>
          <w:b/>
          <w:color w:val="6E8450"/>
          <w:sz w:val="18"/>
        </w:rPr>
        <w:t>GROWTH SLEEVE · 2026-09-17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PowerFleet, Inc. provides AI-enabled Internet of Things (AIoT) solutions for fleet management, asset tracking, and risk mitigation, serving transportation, logistics, and industrial customers through its Unity SaaS platform. Following its 2023-2024 merger with MiX Telematics, PowerFleet more than doubled in scale under CEO Steve Towe, reporting FY2025 revenue growth of 26% to $362.5 million (roughly 75% recurring SaaS revenue) and raising FY2026 guidance to $435-445 million, with FY2027 guidance projecting a return to net income of $4-8 million.</w:t>
      </w:r>
    </w:p>
    <w:p>
      <w:r>
        <w:rPr>
          <w:rFonts w:ascii="Calibri" w:hAnsi="Calibri"/>
          <w:b/>
          <w:color w:val="6E8450"/>
          <w:sz w:val="18"/>
        </w:rPr>
        <w:t>2,658 Employees · https://www.powerfleet.com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2023-2024 merger with MiX Telematics was a genuine strategic pivot that roughly doubled PowerFleet's scale, driving FY2025 revenue growth of 26% to $362.5M and FY2026 revenue of $443.8M (up 22%), with adjusted EBITDA up 65% YoY in FY2025 [1]. AI Deployment (2/2): PowerFleet launched an automated AI risk-intervention application -- an AI video module that detects, assesses, and prevents risk in real time -- built into its Unity platform, a concrete, shipped AI product rather than a roadmap promise [2]. Market Share (1/2): PowerFleet is a credible mid-tier consolidator in fleet telematics/IoT but remains smaller than scale leaders like Samsara, Verizon Connect, and Trimble. Pipeline (2/2): Management has raised guidance multiple times in succession (FY26 to $435-445M, then FY27 to $485-490M with a return to GAAP net income), and ~75% recurring SaaS revenue provides strong forward visibility [1]. R&amp;D Intensity (1/1): A 450-strong global technical team focused on AI and IoT application development reflects meaningful R&amp;D commitment relative to company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PowerFleet's 'People Powered AIoT' positioning centers on using technology to improve fleet safety and operational efficiency, a functionally meaningful purpose tied to reducing accidents and risk, though not deeply distinctive from other fleet-safety technology vendors [2]. Community Impact (1/2): The company's AI risk-intervention products have a plausible safety benefit for drivers and the public, though no specific quantified community-impact data was identified. Employee Retention (0/2): Chief Innovation Officer Mike Powell departed in May 2026 after roughly 1.5 years in the role, and the company has not yet named a permanent successor, signaling instability in the senior innovation leadership team [2]. Insider Buying (0/2): No evidence of notable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PowerFleet's D/E of 60.5% and Forward P/E of 11.4 both score at maximum against their respective 70% and 20x targets, and revenue growth of roughly 22% (FY2026 revenue $443.8M vs. FY2025 $362.5M) clears the 10% target comfortably [1][3]. The 5-year revenue trajectory, boosted substantially by the 2023-2024 MiX Telematics merger rather than pure organic growth, also scores at maximum. However, ROE of -3.78% and profit margin of -4.16% both sit below their 0% floors, reflecting a company still working toward full GAAP profitability -- FY2026 net loss narrowed 60% year-over-year to $20.6M, and FY2027 guidance projects a swing to $4-8M of net income [1]. PEG ratio was not meaningful given the negative current earnings base and was excluded from the weighted calculation. Liquidity clears the floor with average daily dollar volume of roughly $5.2M against the $1M requirement.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PowerFleet has shown real existential flexibility through its transformative MiX Telematics merger, which doubled its scale and recurring revenue base, and its mission of using AI to prevent fleet accidents is a genuine, worthy cause. However, recent senior leadership churn -- including the departure of its Chief Innovation Officer roughly 18 months into the role -- and the absence of strong internal-trust evidence keep the mindset mixed rather than fully infinite.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PowerFleet's mission of using AI-enabled IoT to detect and prevent fleet risk in real time is a genuine, worthy cause tied to reducing accidents and saving lives, embodied in a real, shipped product rather than marketing language alone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departure of Chief Innovation Officer Mike Powell after roughly 18 months, with no permanent successor announced at the time of departure, is a negative signal for leadership continuity and internal trust at a pivotal moment in the company's innovation strategy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PowerFleet competes with Samsara, Verizon Connect, and Trimble on product innovation and platform breadth rather than predatory tactics in the fleet telematics/IoT market.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2023-2024 merger with MiX Telematics was a genuinely transformative strategic move that roughly doubled PowerFleet's revenue base and global footprint, converting the company from a niche fleet-tracking vendor into a scaled, ~75%-recurring-revenue global SaaS platform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Steve Towe led the ambitious MiX Telematics integration and has continued to raise guidance through the integration period, but the recent unplanned innovation-leadership departure suggests execution strain rather than fully steady-handed leadership through the transition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PowerFleet offers a small-cap way to invest in AI-enabled fleet safety and efficiency, with ~75% recurring SaaS revenue, FY2026 revenue of $443.8M (up 22%), and FY2027 guidance projecting a return to GAAP net income of $4-8M following the transformative MiX Telematics merger [1]. A shipped AI video risk-intervention product embedded in the Unity platform demonstrates the company is already monetizing AI as a safety enabler rather than merely discussing it, and a Forward P/E of 11.4x is inexpensive relative to the projected profitability inflection [1][2][3].</w:t>
      </w:r>
    </w:p>
    <w:p>
      <w:pPr>
        <w:spacing w:after="120"/>
      </w:pPr>
      <w:r>
        <w:rPr>
          <w:rFonts w:ascii="Calibri" w:hAnsi="Calibri"/>
          <w:b w:val="0"/>
          <w:color w:val="3A4A28"/>
          <w:sz w:val="20"/>
        </w:rPr>
        <w:t>The bear case centers on execution risk during a leadership transition and intensifying competition: the Chief Innovation Officer departed in May 2026 without an immediately named permanent successor, raising questions about continuity of the AI product roadmap at a critical scaling stage, and larger, better-capitalized AI-native competitors like Samsara could out-invest PowerFleet in AI R&amp;D over time [2]. Current profitability metrics remain negative (ROE -3.78%, margin -4.16%), meaning the FY2027 profitability inflection is not yet proven, and micro-cap liquidity (~$5.2M average daily dollar volume) means the stock can be more volatile on news [1][3]. The Inspire Impact Score of 56 (ALIGNED) reflects strong marks across customer privacy, employee wellbeing, and ethical supply chain practices, a positive but non-financial consideration.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$485-490M revenue and a projected swing to $4-8M net income would mark PowerFleet's first year of GAAP profitability post-merger, a potential re-rating catalyst [1]</w:t>
      </w:r>
    </w:p>
    <w:p>
      <w:pPr>
        <w:spacing w:before="40" w:after="40"/>
        <w:ind w:left="283"/>
      </w:pPr>
      <w:r>
        <w:rPr>
          <w:rFonts w:ascii="Calibri" w:hAnsi="Calibri"/>
          <w:b/>
          <w:color w:val="4A6B25"/>
          <w:sz w:val="20"/>
        </w:rPr>
        <w:t xml:space="preserve">2. </w:t>
      </w:r>
      <w:r>
        <w:rPr>
          <w:rFonts w:ascii="Calibri" w:hAnsi="Calibri"/>
          <w:b w:val="0"/>
          <w:color w:val="3A4A28"/>
          <w:sz w:val="20"/>
        </w:rPr>
        <w:t>Continued adoption of the AI video risk-intervention module across the combined PowerFleet/MiX Telematics customer base could expand average revenue per fleet and improve the ~75% recurring revenue mix further [1][2]</w:t>
      </w:r>
    </w:p>
    <w:p>
      <w:pPr>
        <w:spacing w:before="40" w:after="40"/>
        <w:ind w:left="283"/>
      </w:pPr>
      <w:r>
        <w:rPr>
          <w:rFonts w:ascii="Calibri" w:hAnsi="Calibri"/>
          <w:b/>
          <w:color w:val="4A6B25"/>
          <w:sz w:val="20"/>
        </w:rPr>
        <w:t xml:space="preserve">3. </w:t>
      </w:r>
      <w:r>
        <w:rPr>
          <w:rFonts w:ascii="Calibri" w:hAnsi="Calibri"/>
          <w:b w:val="0"/>
          <w:color w:val="3A4A28"/>
          <w:sz w:val="20"/>
        </w:rPr>
        <w:t>Successful appointment of a permanent Chief Innovation Officer would resolve near-term leadership-continuity uncertainty in the AI product roadmap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churn in the innovation function, with the Chief Innovation Officer departing roughly 18 months into the role, creates execution risk on the AI roadmap at a pivotal scaling moment [2]</w:t>
      </w:r>
    </w:p>
    <w:p>
      <w:pPr>
        <w:spacing w:before="40" w:after="40"/>
        <w:ind w:left="283"/>
      </w:pPr>
      <w:r>
        <w:rPr>
          <w:rFonts w:ascii="Calibri" w:hAnsi="Calibri"/>
          <w:b/>
          <w:color w:val="4A6B25"/>
          <w:sz w:val="20"/>
        </w:rPr>
        <w:t xml:space="preserve">2. </w:t>
      </w:r>
      <w:r>
        <w:rPr>
          <w:rFonts w:ascii="Calibri" w:hAnsi="Calibri"/>
          <w:b w:val="0"/>
          <w:color w:val="3A4A28"/>
          <w:sz w:val="20"/>
        </w:rPr>
        <w:t>Larger, better-capitalized AI-native fleet-telematics competitors such as Samsara could out-invest PowerFleet in AI development and erode its differentiation over time [2]</w:t>
      </w:r>
    </w:p>
    <w:p>
      <w:pPr>
        <w:spacing w:before="40" w:after="40"/>
        <w:ind w:left="283"/>
      </w:pPr>
      <w:r>
        <w:rPr>
          <w:rFonts w:ascii="Calibri" w:hAnsi="Calibri"/>
          <w:b/>
          <w:color w:val="4A6B25"/>
          <w:sz w:val="20"/>
        </w:rPr>
        <w:t xml:space="preserve">3. </w:t>
      </w:r>
      <w:r>
        <w:rPr>
          <w:rFonts w:ascii="Calibri" w:hAnsi="Calibri"/>
          <w:b w:val="0"/>
          <w:color w:val="3A4A28"/>
          <w:sz w:val="20"/>
        </w:rPr>
        <w:t>The company has not yet achieved sustained GAAP profitability (negative ROE and margin), so the FY2027 profitability inflection embedded in guidance is a forecast, not a demonstrated result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PowerFleet's business is AI as the product, not a business AI threatens -- its Unity platform's AI video risk-intervention module is itself a shipped, revenue-relevant application, positioning the company as a direct AI enabler for its fleet-management customers [2]. The primary risk is competitive rather than existential: better-funded, AI-native scale players like Samsara could out-invest PowerFleet in AI R&amp;D and erode its differentiation over time, and the recent departure of the Chief Innovation Officer raises near-term execution questions on the AI roadmap [2]. AI Opportunity (1/1): The shipped AI risk-intervention application, built on 20+ years of safety-domain data, gives PowerFleet a disclosed, monetizable AI product layer already embedded in its Unity ecosystem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Powerfleet, Inc. FY2025 and FY2026 Annual and Quarterly Earnings Releases -- Revenue Growth, Adjusted EBITDA, Net Loss Narrowing, FY2027 Guidance -- ir.powerfleet.com, PR Newswire, 2025-2026</w:t>
      </w:r>
    </w:p>
    <w:p>
      <w:pPr>
        <w:spacing w:before="20" w:after="20"/>
        <w:ind w:left="170"/>
      </w:pPr>
      <w:r>
        <w:rPr>
          <w:rFonts w:ascii="Calibri" w:hAnsi="Calibri"/>
          <w:b/>
          <w:color w:val="4A6B25"/>
          <w:sz w:val="15"/>
        </w:rPr>
        <w:t xml:space="preserve">2. </w:t>
      </w:r>
      <w:r>
        <w:rPr>
          <w:rFonts w:ascii="Calibri" w:hAnsi="Calibri"/>
          <w:b w:val="0"/>
          <w:color w:val="3A4A28"/>
          <w:sz w:val="17"/>
        </w:rPr>
        <w:t>Powerfleet AI Risk Intervention Application, Chief Innovation Officer Appointment and Departure, CEO Steve Towe -- ir.powerfleet.com, TipRanks, PR Newswire, 2024-2026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yfinance -- AIOT Key Statistics (Forward P/E 11.43, D/E 60.47%, ROE -3.78%, Profit Margin -4.16%),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