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AKR</w:t>
      </w:r>
      <w:r>
        <w:rPr>
          <w:rFonts w:ascii="Calibri" w:hAnsi="Calibri"/>
          <w:b/>
          <w:color w:val="1A2010"/>
          <w:sz w:val="40"/>
        </w:rPr>
        <w:t xml:space="preserve">  Acadia Realty Trust</w:t>
      </w:r>
    </w:p>
    <w:p>
      <w:pPr>
        <w:spacing w:after="120"/>
      </w:pPr>
      <w:r>
        <w:rPr>
          <w:rFonts w:ascii="Calibri" w:hAnsi="Calibri"/>
          <w:b/>
          <w:color w:val="6E8450"/>
          <w:sz w:val="18"/>
        </w:rPr>
        <w:t>DIVIDEND SLEEVE · 2026-09-24 · Inspire: 29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Retail · NYSE · United States</w:t>
      </w:r>
    </w:p>
    <w:p>
      <w:pPr>
        <w:spacing w:after="80"/>
      </w:pPr>
      <w:r>
        <w:rPr>
          <w:rFonts w:ascii="Calibri" w:hAnsi="Calibri"/>
          <w:b w:val="0"/>
          <w:color w:val="3A4A28"/>
          <w:sz w:val="20"/>
        </w:rPr>
        <w:t>Acadia Realty Trust is a real estate investment trust focused on the ownership, acquisition, redevelopment, and management of high-quality retail properties in high-barrier-to-entry, densely populated metropolitan areas across the United States, with concentrations in New York City, Washington D.C., Boston, Chicago, and San Francisco. Q2 2026 delivered $95.4M revenue with net income surging 462% YoY to $11.0M, same-property NOI growth of 8.7% led by 15.6% street retail growth. Management raised full-year FFO guidance to $1.24-$1.26 per share for the second consecutive quarter. CEO Ken Bernstein has led for over 27 years. Market cap approximately $2.6B.</w:t>
      </w:r>
    </w:p>
    <w:p>
      <w:r>
        <w:rPr>
          <w:rFonts w:ascii="Calibri" w:hAnsi="Calibri"/>
          <w:b/>
          <w:color w:val="6E8450"/>
          <w:sz w:val="18"/>
        </w:rPr>
        <w:t>138 Employees · https://www.acadiarealty.com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Acadia completed ~$503M of acquisitions and $504M of recapitalizations in Q1 2026, demonstrating active portfolio transformation toward street-level urban retail in high-barrier markets — strategic repositioning rather than product innovation [1]. Q2 2026 delivered strong execution with same-property NOI growth of 8.7% and 15.6% street retail growth [2]. AI Deployment (0/2): No evidence of AI-powered tools or quantified AI-driven savings in property management or leasing operations. Market Share (1/2): Acadia occupies a distinct niche as one of few REITs focused exclusively on street-level and urban retail in top-tier metro areas, though it remains a small player with ~$2.6B market cap in the broader retail REIT space [1]. Pipeline (1/2): Active acquisition pipeline with Q1 2026's $1B+ in transactions and FFO guidance raised twice consecutively to $1.24-$1.26/share representing ~10% YoY growth, though specific redevelopment timelines remain general [1][2]. R&amp;D Intensity (1/1): Acadia invests meaningfully in data-driven tenant selection and market analytics relative to REIT peers, with the core values emphasizing 'intelligence' and 'innovation' in property selection.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Acadia's stated values of 'integrity, intensity, intelligence, and innovation' are corporate but not cause-driven — the company exists to generate returns from retail real estate, a purpose interchangeable with any peer REIT [3]. Community Impact (1/2): Acadia has a dedicated Director of ESG and cross-functional ESG Task Force, with 54% renewable electricity in 2024 and a 46% absolute GHG reduction target by 2030, showing institutional environmental commitment beyond basic compliance [4]. Employee Retention (1/2): With only 138 employees and CEO Bernstein's exceptional 27-year tenure, leadership stability is remarkable, but Glassdoor at 3.4/5 with only 30% recommending the company and reports of 'tremendous amount of back biting among Senior leadership that trickles down' suggests adequate but imperfect retention [3]. Insider Buying (0/2): No notable insider purchases or sales identified in the last 12 months — neutral.</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Dividend REIT scoring — note GAAP metrics are distorted by REIT depreciation. D/E of 63.2% is below the 70% target (score 1.0) [5]. ROE of 5.72% is positive but below the 15% target (score 0.38). Revenue growth YoY of 13.4% exceeds the 10% target (score 1.0). 5yr revenue CAGR of ~8% scores 0.87. Forward P/E of 56.2x is near the 60x floor (score 0.10) — distorted by REIT depreciation; on an FFO basis, AKR trades at ~15x FFO which is reasonable for a retail REIT. Profit margin of 13.2% improved significantly from 4.2% (score 0.66). Dividend metrics: GAAP payout ratio exceeds 100% (score 0.0), but FFO payout is ~58% reflecting healthy dividend coverage. Consecutive years paid 25+ at cap (score 1.0, 2x weight). Consecutive growth 5 years (score 0.5). 5yr dividend growth CAGR of ~7.5% at cap (score 1.0, 2x weight). FFO-based fundamentals are stronger than GAAP: FFO grew 11% YoY with guidance raised to $1.24-$1.26 for the second consecutive quarter [2]. Liquidity passes: 1.50M avg volume x $19.11 = $28.7M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Acadia Realty Trust benefits from CEO Ken Bernstein's exceptional 27-year tenure providing rare strategic consistency and bold capital allocation — $1B+ deployed in Q1 2026 alone. The company has meaningfully evolved its portfolio toward high-barrier urban retail. However, the transactional purpose (generate returns from real estate), low-trust organizational culture (30% Glassdoor recommendation rate), and 'back biting among Senior leadership' in a 138-person organization limit its infinite-game credentials. Sinek would note the 27-year CEO as a strength but flag the cultural toxicity as a fundamental weakness.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Acadia's purpose is fundamentally transactional — acquire, manage, and grow a portfolio of retail properties to generate returns for shareholders [1]. While the focus on 'high-barrier-to-entry' urban markets and core values of 'integrity, intensity, intelligence, and innovation' reflect strategic conviction, there is no articulated vision of a better future beyond real estate returns. This is a business description, not a Just Cause in Sinek's terms.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rating of 3.4/5 with only 30% of employees recommending Acadia to a friend reveals a deeply problematic culture for a 138-person organization [3]. Reviews cite a 'tremendous amount of back biting among Senior leadership that trickles down' and describe employees as 'regularly overworked and under-supported.' In a company this small, these cultural issues pervade the entire organization. Sinek would flag this as a textbook low-trust environment where people protect themselves rather than advance the cause.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Acadia operates alongside Federal Realty, Regency Centers, and Vornado, and management's language focuses on its differentiated urban street-level strategy rather than defeating competitors [1]. The company benchmarks its same-property NOI growth (8.7% in Q2) against peers and uses competitive dynamics to sharpen its niche focus rather than engaging in zero-sum competitive rhetoric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Acadia has evolved meaningfully, shifting from suburban strip centers toward high-barrier urban retail through a multi-year portfolio transformation [1]. The $1B+ in acquisitions and recapitalizations in Q1 2026 alone demonstrates active portfolio reshaping. The focus on street-level retail in gateway cities positions the company for experiential retail trends. However, these are strategic refinements within the same REIT model, not fundamental business model pivots.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Bernstein's 27-year tenure provides rare strategic continuity in the REIT sector [3]. The decision to aggressively deploy $1B+ in Q1 2026 during retail uncertainty shows willingness to act when others are cautious, and raising guidance for two consecutive quarters validates the conviction. However, these decisions align with financial opportunity rather than sacrificing near-term results for long-term capability — Bernstein is executing a value-capture strategy, not a Just Cause.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Acadia Realty Trust delivered strong H1 2026 results with same-property NOI growth of 8.7% (led by 15.6% street retail growth) and net income surging 462% YoY in Q2 to $11.0M, supporting raised full-year FFO guidance of $1.24-$1.26/share (~10% growth at midpoint) for the second consecutive quarter [2]. The 3.77% dividend yield is well-covered by FFO (~58% payout ratio) with 25+ years of consecutive payments and 5 years of consecutive growth, providing income stability. CEO Bernstein's 27-year tenure and aggressive capital deployment — $1B+ in Q1 2026 transactions — position Acadia uniquely in the street-level urban retail niche across NYC, DC, Boston, and San Francisco [1]. D/E of 63.2% is conservative for a REIT, and physical retail in high-barrier markets is structurally immune to AI disruption.</w:t>
      </w:r>
    </w:p>
    <w:p>
      <w:pPr>
        <w:spacing w:after="120"/>
      </w:pPr>
      <w:r>
        <w:rPr>
          <w:rFonts w:ascii="Calibri" w:hAnsi="Calibri"/>
          <w:b w:val="0"/>
          <w:color w:val="3A4A28"/>
          <w:sz w:val="20"/>
        </w:rPr>
        <w:t>The bear case centers on GAAP metric distortion, cultural dysfunction, and growth sustainability. The 56x forward P/E and 5.7% ROE reflect REIT depreciation mechanics rather than true profitability, but even on an FFO basis AKR trades at ~15x FFO, a slight premium to retail REIT averages [5]. Q2 revenue of $95.4M declined 5.2% from Q2 2025's $100.6M, a concerning trend despite strong NOI growth — the disconnect between revenue and NOI needs monitoring [2]. The Glassdoor rating of 3.4/5 with only 30% employee recommendation and reports of 'back biting among Senior leadership' in a 138-person organization is a serious concern — in a company this small, toxic culture directly impairs execution [3]. The GAAP payout ratio of ~205% underscores the REIT's dependence on FFO outperformance to sustain the dividend. Interest rate sensitivity remains elevated for a leveraged REIT, and a consumer spending slowdown could reduce tenant demand in street-level retail. Concentration in urban markets exposes Acadia to remote-work-driven foot traffic declines and municipal tax pressures.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FFO growth trajectory of ~10% YoY toward $1.24-$1.26/share guidance with same-property NOI momentum of 8.7% and accretive contribution from $1B+ Q1 2026 acquisitions — second consecutive quarter of raised guidance signals strong conviction [1][2]</w:t>
      </w:r>
    </w:p>
    <w:p>
      <w:pPr>
        <w:spacing w:before="40" w:after="40"/>
        <w:ind w:left="283"/>
      </w:pPr>
      <w:r>
        <w:rPr>
          <w:rFonts w:ascii="Calibri" w:hAnsi="Calibri"/>
          <w:b/>
          <w:color w:val="4A6B25"/>
          <w:sz w:val="20"/>
        </w:rPr>
        <w:t xml:space="preserve">2. </w:t>
      </w:r>
      <w:r>
        <w:rPr>
          <w:rFonts w:ascii="Calibri" w:hAnsi="Calibri"/>
          <w:b w:val="0"/>
          <w:color w:val="3A4A28"/>
          <w:sz w:val="20"/>
        </w:rPr>
        <w:t>Street-level urban retail occupancy rates improving as experiential retail demand intensifies in Acadia's irreplaceable gateway city locations — 15.6% street retail NOI growth in Q2 2026 far outpacing overall same-property NOI [2]</w:t>
      </w:r>
    </w:p>
    <w:p>
      <w:pPr>
        <w:spacing w:before="40" w:after="40"/>
        <w:ind w:left="283"/>
      </w:pPr>
      <w:r>
        <w:rPr>
          <w:rFonts w:ascii="Calibri" w:hAnsi="Calibri"/>
          <w:b/>
          <w:color w:val="4A6B25"/>
          <w:sz w:val="20"/>
        </w:rPr>
        <w:t xml:space="preserve">3. </w:t>
      </w:r>
      <w:r>
        <w:rPr>
          <w:rFonts w:ascii="Calibri" w:hAnsi="Calibri"/>
          <w:b w:val="0"/>
          <w:color w:val="3A4A28"/>
          <w:sz w:val="20"/>
        </w:rPr>
        <w:t>Dividend growth trajectory extending beyond 5 consecutive years as FFO growth supports potential mid-single-digit annual increases with conservative ~58% FFO payout ratio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Q2 2026 revenue of $95.4M declined 5.2% from Q2 2025 ($100.6M) despite strong NOI growth — revenue trends and occupancy metrics need monitoring for underlying tenant health [2]</w:t>
      </w:r>
    </w:p>
    <w:p>
      <w:pPr>
        <w:spacing w:before="40" w:after="40"/>
        <w:ind w:left="283"/>
      </w:pPr>
      <w:r>
        <w:rPr>
          <w:rFonts w:ascii="Calibri" w:hAnsi="Calibri"/>
          <w:b/>
          <w:color w:val="4A6B25"/>
          <w:sz w:val="20"/>
        </w:rPr>
        <w:t xml:space="preserve">2. </w:t>
      </w:r>
      <w:r>
        <w:rPr>
          <w:rFonts w:ascii="Calibri" w:hAnsi="Calibri"/>
          <w:b w:val="0"/>
          <w:color w:val="3A4A28"/>
          <w:sz w:val="20"/>
        </w:rPr>
        <w:t>Glassdoor rating of 3.4/5 with 30% recommendation rate and reports of senior leadership 'back biting' in a 138-person organization indicates cultural dysfunction that could impair execution and employee retention [3]</w:t>
      </w:r>
    </w:p>
    <w:p>
      <w:pPr>
        <w:spacing w:before="40" w:after="40"/>
        <w:ind w:left="283"/>
      </w:pPr>
      <w:r>
        <w:rPr>
          <w:rFonts w:ascii="Calibri" w:hAnsi="Calibri"/>
          <w:b/>
          <w:color w:val="4A6B25"/>
          <w:sz w:val="20"/>
        </w:rPr>
        <w:t xml:space="preserve">3. </w:t>
      </w:r>
      <w:r>
        <w:rPr>
          <w:rFonts w:ascii="Calibri" w:hAnsi="Calibri"/>
          <w:b w:val="0"/>
          <w:color w:val="3A4A28"/>
          <w:sz w:val="20"/>
        </w:rPr>
        <w:t>GAAP payout ratio of ~205% means dividend sustainability depends entirely on FFO remaining above ~$1.20 — any acquisition misstep or prolonged occupancy decline could force a dividend cut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Retail REIT ownership of physical street-level properties in dense urban markets is structurally immune to AI disruption [1]. AI cannot replace physical retail storefronts, foot traffic, or the experiential retail thriving in Acadia's high-barrier urban locations across NYC, DC, Boston, Chicago, and San Francisco — these are irreplaceable physical assets with zero AI substitution risk. Industry research shows 85.1% of U.S. retail sales still occur in physical stores, and 71% of retailers are expanding physical footprints in 2026 [2]. AI-driven e-commerce optimization may actually increase demand for physical stores as experiential showrooms and last-mile fulfillment hubs. AI Opportunity (0/1): No evidence of AI-generated revenue or AI-powered products being monetized externally.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Acadia Realty Trust Q1 2026 Earnings — $103.0M revenue, $503M acquisitions, $504M recapitalizations, FFO guidance raised, April 2026</w:t>
      </w:r>
    </w:p>
    <w:p>
      <w:pPr>
        <w:spacing w:before="20" w:after="20"/>
        <w:ind w:left="170"/>
      </w:pPr>
      <w:r>
        <w:rPr>
          <w:rFonts w:ascii="Calibri" w:hAnsi="Calibri"/>
          <w:b/>
          <w:color w:val="4A6B25"/>
          <w:sz w:val="15"/>
        </w:rPr>
        <w:t xml:space="preserve">2. </w:t>
      </w:r>
      <w:r>
        <w:rPr>
          <w:rFonts w:ascii="Calibri" w:hAnsi="Calibri"/>
          <w:b w:val="0"/>
          <w:color w:val="3A4A28"/>
          <w:sz w:val="17"/>
        </w:rPr>
        <w:t>Acadia Realty Trust Q2 2026 Earnings — $95.4M revenue, net income $11.0M (+462% YoY), same-property NOI +8.7%, street retail +15.6%, FFO guidance raised to $1.24-$1.26, July 2026</w:t>
      </w:r>
    </w:p>
    <w:p>
      <w:pPr>
        <w:spacing w:before="20" w:after="20"/>
        <w:ind w:left="170"/>
      </w:pPr>
      <w:r>
        <w:rPr>
          <w:rFonts w:ascii="Calibri" w:hAnsi="Calibri"/>
          <w:b/>
          <w:color w:val="4A6B25"/>
          <w:sz w:val="15"/>
        </w:rPr>
        <w:t xml:space="preserve">3. </w:t>
      </w:r>
      <w:r>
        <w:rPr>
          <w:rFonts w:ascii="Calibri" w:hAnsi="Calibri"/>
          <w:b w:val="0"/>
          <w:color w:val="3A4A28"/>
          <w:sz w:val="17"/>
        </w:rPr>
        <w:t>Glassdoor — Acadia Realty Trust Reviews, CEO Ken Bernstein 27-year tenure, 30% recommendation rate, 'back biting' culture,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Acadia Realty Trust ESG Program — Dedicated ESG Director, 54% renewable electricity, 46% GHG reduction target by 2030, acadiarealty.com</w:t>
      </w:r>
    </w:p>
    <w:p>
      <w:pPr>
        <w:spacing w:before="20" w:after="20"/>
        <w:ind w:left="170"/>
      </w:pPr>
      <w:r>
        <w:rPr>
          <w:rFonts w:ascii="Calibri" w:hAnsi="Calibri"/>
          <w:b/>
          <w:color w:val="4A6B25"/>
          <w:sz w:val="15"/>
        </w:rPr>
        <w:t xml:space="preserve">5. </w:t>
      </w:r>
      <w:r>
        <w:rPr>
          <w:rFonts w:ascii="Calibri" w:hAnsi="Calibri"/>
          <w:b w:val="0"/>
          <w:color w:val="3A4A28"/>
          <w:sz w:val="17"/>
        </w:rPr>
        <w:t>Yahoo Finance — AKR Key Statistics: Stock Price $19.11, P/E 54.6, Forward P/E 56.2, D/E 63.2%, ROE 5.72%,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