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ALAB</w:t>
      </w:r>
      <w:r>
        <w:rPr>
          <w:rFonts w:ascii="Calibri" w:hAnsi="Calibri"/>
          <w:b/>
          <w:color w:val="1A2010"/>
          <w:sz w:val="40"/>
        </w:rPr>
        <w:t xml:space="preserve">  Astera Labs, Inc.</w:t>
      </w:r>
    </w:p>
    <w:p>
      <w:pPr>
        <w:spacing w:after="120"/>
      </w:pPr>
      <w:r>
        <w:rPr>
          <w:rFonts w:ascii="Calibri" w:hAnsi="Calibri"/>
          <w:b/>
          <w:color w:val="6E8450"/>
          <w:sz w:val="18"/>
        </w:rPr>
        <w:t>GROWTH SLEEVE · 2026-10-17 · Inspire: 45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Astera Labs designs and markets purpose-built semiconductor connectivity solutions that remove performance bottlenecks in AI and cloud infrastructure. Core products include Aries PCIe/CXL smart retimers, Leo CXL memory controllers, Ethernet smart cable modules, and the Scorpio fabric switch family for rack-scale AI connectivity. The company IPO'd in March 2024 and has grown explosively on surging AI data center demand, reporting Q2 2026 revenue of $392.4M (+104% YoY, +27% QoQ) with TTM revenue of $1.2B. Q3 2026 guidance of $540-560M implies continued hypergrowth. Market cap is approximately $49.6B.</w:t>
      </w:r>
    </w:p>
    <w:p>
      <w:r>
        <w:rPr>
          <w:rFonts w:ascii="Calibri" w:hAnsi="Calibri"/>
          <w:b/>
          <w:color w:val="6E8450"/>
          <w:sz w:val="18"/>
        </w:rPr>
        <w:t>756 Employees · https://www.asteralabs.com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Since its 2017 founding, Astera Labs has launched multiple successful product families — Aries PCIe/CXL smart retimers, Leo CXL memory controllers, Ethernet smart cable modules, and the Scorpio fabric switch platform — each opening new revenue streams in AI connectivity [1][3]. The company scaled from $79.9M revenue (2022) to $1.2B TTM in under five years, a remarkable trajectory for a semiconductor startup. AI Deployment (2/2): Astera Labs IS AI infrastructure — every product is purpose-built for AI and ML data center connectivity. Q2 2026 revenue of $392.4M (+104% YoY) is driven entirely by AI workload demand, with COSMOS software enabling fleet-scale management of AI cluster connectivity [1]. Market Share (2/2): Astera Labs is the fastest-growing player in PCIe/CXL retimers and AI fabric switches, with Scorpio X moving to volume production one quarter ahead of schedule and expected to become the largest revenue source in Q3 2026 [1][3]. The company has raised guidance 9 times since May 2024, indicating demand exceeds supply. Product Pipeline (2/2): Scorpio X AI fabric switch entered volume production in Q2 2026 with Q3 revenue guidance of $540-560M (+40% sequential), management expects it to become the largest product family in Q3 [1]. Consensus Q4 2026 revenue of $652.6M provides further visibility. R&amp;D Intensity (1/1): As a fabless semiconductor company with 756 employees predominantly in engineering, Astera Labs maintains heavy R&amp;D investment consistent with top-quartile semiconductor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Astera Labs' purpose is to be a 'trusted partner for distributing data in intelligent systems' by developing purpose-built connectivity solutions. The mission is clear and technically specific — the co-founders left Texas Instruments in 2017 specifically to pursue the belief that solving bandwidth bottlenecks would be essential to the next wave of AI innovation [2]. However, the mission reads as a product-focused business description rather than a deeper purpose that inspires beyond product excellence. Community Impact (0/2): No evidence of charitable giving, foundation activity, or community investment programs was identified for this young, fast-growing company. Employee Retention (1/2): The co-founding team (CEO Jitendra Mohan, COO Sanjay Gajendra, CPO Casey Morrison) earned EY World Entrepreneur of the Year 2026 recognition, and the company has grown to over 1,000 employees across 13 global offices [2]. Some reports note intense pace and work-life balance pressure during rapid scaling, but overall culture signals are positive. Insider Buying (0/2): Net insider selling by executives under Rule 10b5-1 plans — COO Sanjay Gajendra sold $30.8M in August 2026, Director Manuel Alba sold $16.8M in July 2026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(5yr Revenue CAGR excluded — company has only ~4 years of revenue history; Forward PEG unavailable from yfinance). Astera Labs demonstrates exceptional financial health: near-zero leverage with D/E of 2.57% (score 1.0, 1x), ROE of 25.83% well above the 15% target (score 1.0, 2x), revenue growth YoY of 104.5% dramatically exceeding the 10% target (score 1.0, 1x), and profit margin of 30.74% above the 20% threshold (score 1.0, 1x) [1]. The primary drag is the elevated Forward P/E of 44.64, scoring 0.38 against the 20x target on linear interpolation to the 60x floor. If the PEG of 0.94 (previously available, now null in yfinance) were included, it would score 1.0 with 2x weight. Daily dollar volume of ~$1.2B (4.2M shares x $285.82)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Astera Labs demonstrates a purpose-driven founding story — three engineers leaving Texas Instruments in 2017 to solve connectivity bottlenecks they believed would become critical for AI — validated by the company's extraordinary growth trajectory and EY World Entrepreneur of the Year 2026 recognition. The company shows genuine conviction in its technical mission and competes through innovation rather than destruction. However, ALAB has not yet been tested through adversity, has experienced only tailwinds during the AI supercycle, and lacks the multi-decade track record that defines infinite game players. The founding vision has been proven right, but it has not yet survived a downturn.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Astera Labs' founding purpose — leaving established roles at Texas Instruments in 2017 to solve connectivity bottlenecks essential for the next wave of AI computing — is specific, distinctive, and has been validated by execution. The co-founders had genuine conviction about a future that hadn't yet arrived (pre-AI boom), analogous to NVDA's early CUDA investment [2]. The cause shaped the founding decision and has guided consistent product strategy from retimers through fabric switches. However, at 9 years of history, the cause has not been tested through crisis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co-founding leadership team (CEO Mohan since 2017, COO Gajendra, CPO Morrison) provides strong continuity, and their EY Entrepreneur of the Year recognition suggests organizational cohesion [2]. The company has grown to 756+ employees across 13 offices. However, some reports note intense pace, deadline pressure, and uneven management across teams during rapid scaling. The company has not faced the stress tests — layoffs, downturns — that reveal whether trust is structural.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Astera Labs competes against Broadcom, Marvell, and established semiconductor players but frames its competitive position around product innovation and customer partnership ('trusted partner') rather than competitive destruction [2]. Management emphasizes solving customer problems and winning through technical excellence. The company's product expansion from retimers to fabric switches was driven by customer needs, not competitor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Astera Labs has evolved from a PCIe retimer company into a comprehensive AI connectivity platform, expanding into CXL memory controllers, Ethernet smart cable modules, and Scorpio fabric switches. Each product family entered adjacent markets and leveraged existing semiconductor expertise [1]. The Scorpio switch becoming the largest revenue source represents meaningful platform evolution. However, these expansions were incremental product line extensions, not transformative business model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co-founders invested years building semiconductor IP starting in 2017, before the AI boom made their products essential — a bet on a future that hadn't arrived yet. The decision to develop Scorpio fabric switches as a new product category alongside proven retimers represents a meaningful expansion bet [1]. However, these decisions were made during a massive AI spending supercycle — true courage involves costly decisions during difficult times, which ALAB has not yet faced.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Astera Labs is the pure-play connectivity backbone of the AI infrastructure buildout, with Q2 2026 revenue of $392.4M (+104% YoY, +27% QoQ) and Q3 guidance of $540-560M demonstrating hypergrowth as hyperscalers scale GPU clusters [1]. Scorpio X fabric switches moved to volume production one quarter ahead of schedule and will become the largest revenue source in Q3, validating the platform strategy beyond retimers. The financial profile is exceptional: near-zero debt (D/E 2.57%), ROE of 25.83%, profit margin of 30.74%, and $1.25B cash against $44M debt. The company has raised guidance 9 times since May 2024, and consensus Q4 2026 revenue of $652.6M implies a $2B+ annualized run rate. The Inspire Impact Score of +45 (ALIGNED) makes this suitable for faith-based portfolios [3].</w:t>
      </w:r>
    </w:p>
    <w:p>
      <w:pPr>
        <w:spacing w:after="120"/>
      </w:pPr>
      <w:r>
        <w:rPr>
          <w:rFonts w:ascii="Calibri" w:hAnsi="Calibri"/>
          <w:b w:val="0"/>
          <w:color w:val="3A4A28"/>
          <w:sz w:val="20"/>
        </w:rPr>
        <w:t>The bear case centers on valuation sustainability and cyclical risk. At 44.6x forward earnings and 41x TTM revenue, ALAB is priced for perfection — any deceleration in AI capex spending by hyperscalers (Meta, Microsoft, Google, Amazon represent the bulk of demand) could trigger severe multiple compression [1]. The company has existed only during an AI spending supercycle and has never navigated a downturn; semiconductor connectivity demand is ultimately derivative of GPU shipments and data center buildout, which are cyclical. Revenue concentration risk is high given the small number of hyperscaler customers. Insider selling of $47.6M by the COO and a director in July-August 2026, while executed under 10b5-1 plans, signals insiders are monetizing at elevated valuations [3]. The 756-person workforce introduces execution risk as the company scales from $1.2B to multi-billion-dollar revenue, and the Sustainalytics ESG risk score of 22.33 (medium) reflects governance growing pains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Scorpio X fabric switch in volume production becoming the largest revenue source in Q3 2026, validating platform expansion beyond retimers and opening a larger TAM in AI cluster connectivity with Q3 guidance of $540-560M [1]</w:t>
      </w:r>
    </w:p>
    <w:p>
      <w:pPr>
        <w:spacing w:before="40" w:after="40"/>
        <w:ind w:left="283"/>
      </w:pPr>
      <w:r>
        <w:rPr>
          <w:rFonts w:ascii="Calibri" w:hAnsi="Calibri"/>
          <w:b/>
          <w:color w:val="4A6B25"/>
          <w:sz w:val="20"/>
        </w:rPr>
        <w:t xml:space="preserve">2. </w:t>
      </w:r>
      <w:r>
        <w:rPr>
          <w:rFonts w:ascii="Calibri" w:hAnsi="Calibri"/>
          <w:b w:val="0"/>
          <w:color w:val="3A4A28"/>
          <w:sz w:val="20"/>
        </w:rPr>
        <w:t>Consensus Q4 2026 revenue of $652.6M implies a $2.6B+ annualized exit run rate with 9 consecutive guidance raises since May 2024, demonstrating sustained hypergrowth trajectory [1][3]</w:t>
      </w:r>
    </w:p>
    <w:p>
      <w:pPr>
        <w:spacing w:before="40" w:after="40"/>
        <w:ind w:left="283"/>
      </w:pPr>
      <w:r>
        <w:rPr>
          <w:rFonts w:ascii="Calibri" w:hAnsi="Calibri"/>
          <w:b/>
          <w:color w:val="4A6B25"/>
          <w:sz w:val="20"/>
        </w:rPr>
        <w:t xml:space="preserve">3. </w:t>
      </w:r>
      <w:r>
        <w:rPr>
          <w:rFonts w:ascii="Calibri" w:hAnsi="Calibri"/>
          <w:b w:val="0"/>
          <w:color w:val="3A4A28"/>
          <w:sz w:val="20"/>
        </w:rPr>
        <w:t>AI infrastructure spending acceleration — as AI models grow larger and GPU clusters scale to tens of thousands of chips, the connectivity layer that ALAB provides becomes increasingly critical and represents a growing share of data center BOM cost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Hyperscaler capex concentration — the majority of revenue comes from a small number of cloud/AI customers, and any pullback in AI infrastructure spending could dramatically impact revenue growth [1]</w:t>
      </w:r>
    </w:p>
    <w:p>
      <w:pPr>
        <w:spacing w:before="40" w:after="40"/>
        <w:ind w:left="283"/>
      </w:pPr>
      <w:r>
        <w:rPr>
          <w:rFonts w:ascii="Calibri" w:hAnsi="Calibri"/>
          <w:b/>
          <w:color w:val="4A6B25"/>
          <w:sz w:val="20"/>
        </w:rPr>
        <w:t xml:space="preserve">2. </w:t>
      </w:r>
      <w:r>
        <w:rPr>
          <w:rFonts w:ascii="Calibri" w:hAnsi="Calibri"/>
          <w:b w:val="0"/>
          <w:color w:val="3A4A28"/>
          <w:sz w:val="20"/>
        </w:rPr>
        <w:t>Valuation risk at 44.6x forward earnings requires sustained 60%+ revenue growth; any deceleration below consensus expectations could trigger multiple compression from premium to market-average levels</w:t>
      </w:r>
    </w:p>
    <w:p>
      <w:pPr>
        <w:spacing w:before="40" w:after="40"/>
        <w:ind w:left="283"/>
      </w:pPr>
      <w:r>
        <w:rPr>
          <w:rFonts w:ascii="Calibri" w:hAnsi="Calibri"/>
          <w:b/>
          <w:color w:val="4A6B25"/>
          <w:sz w:val="20"/>
        </w:rPr>
        <w:t xml:space="preserve">3. </w:t>
      </w:r>
      <w:r>
        <w:rPr>
          <w:rFonts w:ascii="Calibri" w:hAnsi="Calibri"/>
          <w:b w:val="0"/>
          <w:color w:val="3A4A28"/>
          <w:sz w:val="20"/>
        </w:rPr>
        <w:t>Cyclical risk without a track record — ALAB has never navigated a semiconductor downturn, and connectivity demand is derivative of GPU shipments which are historically cyclical; insider selling of $47.6M suggests executives are hedging against this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Astera Labs is structurally immune to AI disruption because it IS AI infrastructure. The company's connectivity solutions — PCIe/CXL retimers, CXL memory controllers, and Scorpio fabric switches — are essential physical-layer semiconductor components that every AI data center requires to connect GPUs, memory, and networking at rack scale [1]. As AI model sizes and cluster sizes grow, demand for Astera Labs' products increases proportionally. No software-based AI solution can substitute for the physical semiconductor connectivity layer. Revenue has grown 104% YoY precisely because AI deployment is accelerating — the company is a direct, primary beneficiary of AI capital expenditure [1][3]. AI Opportunity (1/1): Virtually 100% of Astera Labs' $1.2B TTM revenue is AI-related, driven by hyperscaler and cloud provider demand for AI cluster connectivity. Scorpio X fabric switches and Aries retimers ship directly into AI training and inference infrastructure, making ALAB one of the purest AI revenue plays in the semiconductor industry.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Astera Labs Q2 FY2026 Earnings — Revenue $392.4M (+104% YoY, +27% QoQ), GAAP Net Income $153.1M, Non-GAAP EPS $0.80, Q3 Guidance $540-560M, Guidance Raised 9 Times, Futurum Group/Investing.com, August 2026</w:t>
      </w:r>
    </w:p>
    <w:p>
      <w:pPr>
        <w:spacing w:before="20" w:after="20"/>
        <w:ind w:left="170"/>
      </w:pPr>
      <w:r>
        <w:rPr>
          <w:rFonts w:ascii="Calibri" w:hAnsi="Calibri"/>
          <w:b/>
          <w:color w:val="4A6B25"/>
          <w:sz w:val="15"/>
        </w:rPr>
        <w:t xml:space="preserve">2. </w:t>
      </w:r>
      <w:r>
        <w:rPr>
          <w:rFonts w:ascii="Calibri" w:hAnsi="Calibri"/>
          <w:b w:val="0"/>
          <w:color w:val="3A4A28"/>
          <w:sz w:val="17"/>
        </w:rPr>
        <w:t>Astera Labs Leadership — CEO Jitendra Mohan Co-founder from Texas Instruments (2017), EY World Entrepreneur of the Year 2026, 13 Global Offices, 756+ Employees, EY/BusinessWire, 2023-2026</w:t>
      </w:r>
    </w:p>
    <w:p>
      <w:pPr>
        <w:spacing w:before="20" w:after="20"/>
        <w:ind w:left="170"/>
      </w:pPr>
      <w:r>
        <w:rPr>
          <w:rFonts w:ascii="Calibri" w:hAnsi="Calibri"/>
          <w:b/>
          <w:color w:val="4A6B25"/>
          <w:sz w:val="15"/>
        </w:rPr>
        <w:t xml:space="preserve">3. </w:t>
      </w:r>
      <w:r>
        <w:rPr>
          <w:rFonts w:ascii="Calibri" w:hAnsi="Calibri"/>
          <w:b w:val="0"/>
          <w:color w:val="3A4A28"/>
          <w:sz w:val="17"/>
        </w:rPr>
        <w:t>Astera Labs Financials — Forward P/E 44.64, Trailing P/E 140.8, Market Cap $49.6B, Insider Selling $47.6M (COO Gajendra $30.8M Aug 2026, Director Alba $16.8M Jul 2026), SEC/StockAnalysis, 2026</w:t>
      </w:r>
    </w:p>
    <w:p>
      <w:pPr>
        <w:spacing w:before="20" w:after="20"/>
        <w:ind w:left="170"/>
      </w:pPr>
      <w:r>
        <w:rPr>
          <w:rFonts w:ascii="Calibri" w:hAnsi="Calibri"/>
          <w:b/>
          <w:color w:val="4A6B25"/>
          <w:sz w:val="15"/>
        </w:rPr>
        <w:t xml:space="preserve">4. </w:t>
      </w:r>
      <w:r>
        <w:rPr>
          <w:rFonts w:ascii="Calibri" w:hAnsi="Calibri"/>
          <w:b w:val="0"/>
          <w:color w:val="3A4A28"/>
          <w:sz w:val="17"/>
        </w:rPr>
        <w:t>Astera Labs ESG — Sustainalytics ESG Risk Score 22.33 (Medium), Environmental 6.8, Social 8.88, Governance 6.66, Saxo Markets/Morningstar,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