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ALHC</w:t>
      </w:r>
      <w:r>
        <w:rPr>
          <w:rFonts w:ascii="Calibri" w:hAnsi="Calibri"/>
          <w:b/>
          <w:color w:val="1A2010"/>
          <w:sz w:val="40"/>
        </w:rPr>
        <w:t xml:space="preserve">  Alignment Healthcare, Inc.</w:t>
      </w:r>
    </w:p>
    <w:p>
      <w:pPr>
        <w:spacing w:after="120"/>
      </w:pPr>
      <w:r>
        <w:rPr>
          <w:rFonts w:ascii="Calibri" w:hAnsi="Calibri"/>
          <w:b/>
          <w:color w:val="6E8450"/>
          <w:sz w:val="18"/>
        </w:rPr>
        <w:t>GROWTH SLEEVE · 2026-09-04 · Inspire: 50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Healthcare Plans · NASDAQ · United States</w:t>
      </w:r>
    </w:p>
    <w:p>
      <w:pPr>
        <w:spacing w:after="80"/>
      </w:pPr>
      <w:r>
        <w:rPr>
          <w:rFonts w:ascii="Calibri" w:hAnsi="Calibri"/>
          <w:b w:val="0"/>
          <w:color w:val="3A4A28"/>
          <w:sz w:val="20"/>
        </w:rPr>
        <w:t>Alignment Healthcare operates a consumer-centric, AI-enabled Medicare Advantage platform for seniors in the United States. The company leverages its proprietary AVA technology platform — processing 200+ data sources and 13,000+ attributes — to deliver personalized healthcare experiences. Q2 2026 revenue reached $1.3B (+32% YoY) with 294,100 health plan members (+31% YoY), achieving the lowest medical benefit ratio (86.3%) in company history. FY2026 guidance raised to $5.20-5.23B revenue and $145-163M adjusted EBITDA. Founded in 2013 by CEO John Kao, headquartered in Orange, California. Market cap approximately $2.81B.</w:t>
      </w:r>
    </w:p>
    <w:p>
      <w:r>
        <w:rPr>
          <w:rFonts w:ascii="Calibri" w:hAnsi="Calibri"/>
          <w:b/>
          <w:color w:val="6E8450"/>
          <w:sz w:val="18"/>
        </w:rPr>
        <w:t>1,849 Employees · https://www.alignmenthealth.com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Alignment has achieved explosive growth — Q2 2026 revenue of $1.3B (+32% YoY) with membership of 294,100 (+31% YoY) after FY2025 revenue surged 46% to $3.95B [1]. Full-year 2026 guidance raised to $5.20-5.23B with 290K-296K year-end membership. Geographic expansion from California into multiple states validates the platform's portability. The company identified $880M in embedded gross profit potential from current membership, up from $600M in early 2025 [1]. AI Deployment (2/2): AVA, the proprietary AI-enabled platform, has been in production for over 10 years, using 200+ data sources and 13,000+ attributes to generate personalized clinical insights for 294,100 members [2]. This is a shipped, revenue-generating AI product at the core of operations, driving MBR improvement to 86.3% (lowest in company history, 40bps YoY improvement) [1]. Market Share (1/2): Alignment is one of the fastest-growing MA plans nationally with 31% membership growth, but 294,100 members remains small in the $450B+ Medicare Advantage market dominated by UnitedHealth, Humana, and CVS/Aetna with millions of members each [1]. Product Pipeline (1/2): Raised FY2026 guidance across all metrics with clear membership and revenue visibility. Expanding into new states including North Carolina. $880M embedded gross profit opportunity provides multi-year earnings ramp visibility [1]. R&amp;D Intensity (0/1): Technology investment is embedded in SG&amp;A ($115M in Q2, 8.6% of revenue) rather than reported as separate R&amp;D spending, making R&amp;D intensity unmeasurable against industry benchmarks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Alignment's purpose — improving healthcare for seniors through personalized, technology-enabled care — is clear and identifies the population served. CEO John Kao describes his 'passion and constant drive to change the way healthcare is administered to our senior population' [2]. However, the mission is not distinctively articulated compared to other senior-focused healthcare companies and reads as standard industry language rather than a transformative vision. Community Impact (0/2): No specific charitable programs, foundation initiatives, or community investment with dollar amounts were identified beyond core business operations of serving Medicare Advantage members [2]. Employee Retention (0/2): Glassdoor data is severely negative — only 37% of employees would recommend working at Alignment Healthcare [3]. Reviews describe the company running 'on fear, favoritism, and performative leadership,' with layoffs 'in silence, no explanation, no accountability.' Culture and values rated 2.4/5, career opportunities 2.3/5, and work-life balance 2.5/5. This indicates a fear-based environment with likely elevated turnover. Insider Buying (0/2): No evidence of meaningful open-market insider buying. Recent insider transactions show net selling by CFO and directors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Growth stock with PEG excluded (unavailable). D/E of 125% is elevated but improved significantly from 159%, scoring (300-125)/(300-70) = 0.76 [5]. ROE of 20.04% now exceeds the 15% target as profitability scales, scoring 1.0 with 2x weight — a major improvement from 12.53% in the prior period [5]. Revenue growth of 32% YoY (Q2 2026) and estimated 5-year CAGR of ~40% both score at maximum [1]. Forward P/E of 21.88 is close to the 20 target, scoring (60-21.88)/(60-20) = 0.95 — dramatically improved from 44.79 previously [5]. Profit margin of 0.89% remains razor-thin, scoring 0.89/20 = 0.04 — the company is still in early profitability [5]. H1 2026 operating cash flow of $111M and free cash flow of $177.51M TTM confirm genuine cash generation despite thin margins. Liquidity cleared: 4.26M avg volume x $13.55 = $57.7M daily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Alignment Healthcare under founder John Kao shows genuine infinite game aspirations — a 13-year commitment to building the AVA platform before reaching meaningful profitability, and a stated purpose of transforming senior healthcare through technology. However, the severely low Glassdoor ratings (37% recommend, 2.4 culture) describe an organization running on fear, favoritism, and performative leadership — antithetical to Sinek's Circle of Safety [3]. The PE governance structure (General Atlantic and Warburg Pincus veto rights over CEO selection) further constrains truly infinite-game leadership autonomy.</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Alignment's cause — using technology to deliver better, more personalized healthcare for seniors — is genuine and has been consistently pursued since the 2013 founding. CEO Kao's 13-year investment in AVA before reaching meaningful profitability demonstrates strategic patience aligned with purpose [1][2]. The $880M embedded gross profit opportunity identified from current membership suggests the model works [1]. However, the cause hasn't been tested through a true crisis or leadership transition, and the PE governance structure raises questions about whether the cause or financial returns ultimately drive decisions.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Only 37% of Alignment Healthcare employees would recommend working there based on Glassdoor reviews [3]. Culture rated 2.4/5, career opportunities 2.3/5. Employee reviews describe the company running 'on fear, favoritism, and performative leadership' with layoffs happening 'in silence, no explanation, no accountability.' Multiple reviews state 'transparency is nonexistent' and leadership 'micromanages everything.' 'Innovation is performative.' Sinek would identify this as a zero-trust environment where employees protect themselves rather than advance the cause.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Alignment acknowledges UnitedHealth, Humana, and other large MA plans as competitors whose scale and resources push Alignment to differentiate through technology and member experience rather than size [1]. Management frames competition as motivation to build a better model for seniors rather than to destroy incumbents. The competitive language focuses on 'building' and 'improving' rather than 'beating' or 'winning market share,' consistent with infinite-game thinking.</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Alignment evolved from a healthcare services company into a full Medicare Advantage plan operator with its own AI-enabled platform, representing meaningful business model evolution [2]. Geographic expansion from California to multiple states and the shift from fee-for-service consulting to full-risk MA plans demonstrates strategic adaptation. However, the company remains focused on a single payer type (Medicare Advantage) and hasn't demonstrated willingness to fundamentally pivot outside its core model.</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Alignment invested over a decade building the AVA platform before reaching meaningful profitability, prioritizing technology infrastructure and member outcomes over short-term earnings — a courageous bet for a healthcare company [2]. The decision to operate as a full-risk MA plan rather than a lower-risk technology vendor shows conviction. However, the PE-backed governance with General Atlantic and Warburg Pincus veto rights limits true leadership autonomy [6], and the company has not yet been tested by having to choose between growth and profitability under real pressure.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Alignment Healthcare is a high-growth Medicare Advantage disruptor now approaching earnings inflection, with dramatically improved valuation after a 44% stock decline from its 2025 highs. Q2 2026 delivered $1.3B revenue (+32% YoY) with 294,100 members (+31% YoY), MBR of 86.3% (lowest in company history, down 40bps YoY), and adjusted EBITDA of $68M (5.1% margin) [1]. Management raised all full-year guidance metrics to $5.20-5.23B revenue and $145-163M adjusted EBITDA with $880M in identified embedded gross profit from current membership [1]. ROE improved to 20.04% from 12.53% as profitability scales. At $13.55 with a forward P/E of 21.88 (vs 44.79 previously), the stock offers significantly improved risk/reward for a 30%+ revenue grower with an AI-enabled platform processing 200+ data sources for personalized senior care [2][5]. The Medicare Advantage secular tailwind (10,000 Americans turning 65 daily) provides a structural growth backdrop through 2035.</w:t>
      </w:r>
    </w:p>
    <w:p>
      <w:pPr>
        <w:spacing w:after="120"/>
      </w:pPr>
      <w:r>
        <w:rPr>
          <w:rFonts w:ascii="Calibri" w:hAnsi="Calibri"/>
          <w:b w:val="0"/>
          <w:color w:val="3A4A28"/>
          <w:sz w:val="20"/>
        </w:rPr>
        <w:t>The bear case centers on margin fragility, culture dysfunction, and governance constraints. Profit margin of 0.89% means the company is only marginally profitable — a small uptick in medical costs (hospital pricing, specialty drugs, utilization) could push results back to losses [1]. D/E of 125% reflects meaningful leverage, and the trailing P/E of 68.55 demonstrates earnings remain thin relative to the stock price. Glassdoor data is alarming: only 37% of employees recommend the company, with culture rated 2.4/5 and reviews describing fear-based management, performative leadership, and silent layoffs [3]. This organizational dysfunction creates execution risk as membership scales toward 300,000+ members requiring coordinated care delivery. General Atlantic and Warburg Pincus maintain veto rights over CEO selection and major corporate decisions, limiting shareholder governance [6]. CMS Medicare Advantage rate adjustments, V28 risk adjustment model changes, and Star rating methodology shifts could compress per-member economics industry-wide. Competition from UnitedHealth, Humana, CVS/Aetna, and tech-enabled competitors with vastly greater scale remains formidable.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Profitability inflection accelerating — Q2 2026 adjusted EBITDA of $68M (5.1% margin) with full-year guidance raised to $145-163M, representing continued operating leverage as the AVA platform scales and MBR reaches record low of 86.3% [1]</w:t>
      </w:r>
    </w:p>
    <w:p>
      <w:pPr>
        <w:spacing w:before="40" w:after="40"/>
        <w:ind w:left="283"/>
      </w:pPr>
      <w:r>
        <w:rPr>
          <w:rFonts w:ascii="Calibri" w:hAnsi="Calibri"/>
          <w:b/>
          <w:color w:val="4A6B25"/>
          <w:sz w:val="20"/>
        </w:rPr>
        <w:t xml:space="preserve">2. </w:t>
      </w:r>
      <w:r>
        <w:rPr>
          <w:rFonts w:ascii="Calibri" w:hAnsi="Calibri"/>
          <w:b w:val="0"/>
          <w:color w:val="3A4A28"/>
          <w:sz w:val="20"/>
        </w:rPr>
        <w:t>Embedded gross profit opportunity of $880M from current membership (up from $600M in early 2025) provides multi-year earnings visibility as newer cohorts mature and AVA optimizes their care — management expects these members to reach profitability similar to longer-tenured cohorts [1]</w:t>
      </w:r>
    </w:p>
    <w:p>
      <w:pPr>
        <w:spacing w:before="40" w:after="40"/>
        <w:ind w:left="283"/>
      </w:pPr>
      <w:r>
        <w:rPr>
          <w:rFonts w:ascii="Calibri" w:hAnsi="Calibri"/>
          <w:b/>
          <w:color w:val="4A6B25"/>
          <w:sz w:val="20"/>
        </w:rPr>
        <w:t xml:space="preserve">3. </w:t>
      </w:r>
      <w:r>
        <w:rPr>
          <w:rFonts w:ascii="Calibri" w:hAnsi="Calibri"/>
          <w:b w:val="0"/>
          <w:color w:val="3A4A28"/>
          <w:sz w:val="20"/>
        </w:rPr>
        <w:t>Medicare Advantage secular tailwind — 10,000 Americans turning 65 daily creates structural demand through 2035, and Alignment's 31% membership growth demonstrates ability to capture this demographic shift with a differentiated, technology-enabled model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Razor-thin profitability (0.89% margin) creates vulnerability to medical cost inflation — hospital pricing, utilization trends, and specialty drug costs could push results back to losses in any given quarter, erasing the nascent profit trajectory [1]</w:t>
      </w:r>
    </w:p>
    <w:p>
      <w:pPr>
        <w:spacing w:before="40" w:after="40"/>
        <w:ind w:left="283"/>
      </w:pPr>
      <w:r>
        <w:rPr>
          <w:rFonts w:ascii="Calibri" w:hAnsi="Calibri"/>
          <w:b/>
          <w:color w:val="4A6B25"/>
          <w:sz w:val="20"/>
        </w:rPr>
        <w:t xml:space="preserve">2. </w:t>
      </w:r>
      <w:r>
        <w:rPr>
          <w:rFonts w:ascii="Calibri" w:hAnsi="Calibri"/>
          <w:b w:val="0"/>
          <w:color w:val="3A4A28"/>
          <w:sz w:val="20"/>
        </w:rPr>
        <w:t>Severely deteriorating employee culture — only 37% of employees recommend Alignment Healthcare on Glassdoor, with culture rated 2.4/5 and descriptions of fear-based management, performative leadership, and silent layoffs creating human capital risk during rapid scaling [3]</w:t>
      </w:r>
    </w:p>
    <w:p>
      <w:pPr>
        <w:spacing w:before="40" w:after="40"/>
        <w:ind w:left="283"/>
      </w:pPr>
      <w:r>
        <w:rPr>
          <w:rFonts w:ascii="Calibri" w:hAnsi="Calibri"/>
          <w:b/>
          <w:color w:val="4A6B25"/>
          <w:sz w:val="20"/>
        </w:rPr>
        <w:t xml:space="preserve">3. </w:t>
      </w:r>
      <w:r>
        <w:rPr>
          <w:rFonts w:ascii="Calibri" w:hAnsi="Calibri"/>
          <w:b w:val="0"/>
          <w:color w:val="3A4A28"/>
          <w:sz w:val="20"/>
        </w:rPr>
        <w:t>CMS regulatory risk — Medicare Advantage rate changes, V28 risk adjustment model implementation, and Star rating methodology shifts could compress per-member economics across the industry, disproportionately impacting thin-margin operators like Alignment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Alignment's core business — operating Medicare Advantage health plans — involves deeply regulated healthcare delivery, provider network management, CMS compliance, and member care coordination that AI cannot easily replace [1]. CMS regulations, state insurance requirements, and the physical-world nature of healthcare delivery create structural moats. However, AI tools from large tech companies (Amazon One Medical, Google DeepMind Health) and health systems could enhance competitor capabilities in care management, potentially eroding Alignment's AVA platform advantage over time. The company's AI differentiation is both a strength and a competitive risk — if larger players deploy comparable predictive analytics at scale, Alignment's moat narrows [2]. AI Opportunity (1/1): AVA is a production AI platform operational for 10+ years, processing 200+ data sources and 13,000+ attributes to drive clinical insights for 294,100 members, with demonstrable impact on Medical Benefit Ratio improvement to 86.3% — the lowest in company history [1][2]. AI is core to the business model and directly generates revenue through better clinical outcomes and member retention.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Alignment Healthcare Q2 2026 Earnings — Revenue $1.3B (+32% YoY), 294,100 Members (+31%), MBR 86.3% (record low), Adj EBITDA $68M (5.1% margin), Raised FY2026 Guidance $5.20-5.23B, $880M Embedded Gross Profit, August 2026</w:t>
      </w:r>
    </w:p>
    <w:p>
      <w:pPr>
        <w:spacing w:before="20" w:after="20"/>
        <w:ind w:left="170"/>
      </w:pPr>
      <w:r>
        <w:rPr>
          <w:rFonts w:ascii="Calibri" w:hAnsi="Calibri"/>
          <w:b/>
          <w:color w:val="4A6B25"/>
          <w:sz w:val="15"/>
        </w:rPr>
        <w:t xml:space="preserve">2. </w:t>
      </w:r>
      <w:r>
        <w:rPr>
          <w:rFonts w:ascii="Calibri" w:hAnsi="Calibri"/>
          <w:b w:val="0"/>
          <w:color w:val="3A4A28"/>
          <w:sz w:val="17"/>
        </w:rPr>
        <w:t>Alignment Healthcare Corporate Website and AVA Platform — 200+ Data Sources, 13,000+ Attributes, CEO John Kao Vision,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Glassdoor — Alignment Healthcare Employee Reviews: 37% recommend, Culture 2.4/5, Work-Life Balance 2.5/5, Career 2.3/5, descriptions of fear-based management,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SEC Form 4 Filings — CFO James Head Share Sale, Director Robert Scavo Sales, net insider selling, 2026</w:t>
      </w:r>
    </w:p>
    <w:p>
      <w:pPr>
        <w:spacing w:before="20" w:after="20"/>
        <w:ind w:left="170"/>
      </w:pPr>
      <w:r>
        <w:rPr>
          <w:rFonts w:ascii="Calibri" w:hAnsi="Calibri"/>
          <w:b/>
          <w:color w:val="4A6B25"/>
          <w:sz w:val="15"/>
        </w:rPr>
        <w:t xml:space="preserve">5. </w:t>
      </w:r>
      <w:r>
        <w:rPr>
          <w:rFonts w:ascii="Calibri" w:hAnsi="Calibri"/>
          <w:b w:val="0"/>
          <w:color w:val="3A4A28"/>
          <w:sz w:val="17"/>
        </w:rPr>
        <w:t>StockAnalysis.com — ALHC Key Statistics: Stock Price $13.55, Forward PE 21.88, ROE 20.04%, D/E 1.25, Profit Margin 0.89%, Avg Volume 4.26M, accessed September 2026</w:t>
      </w:r>
    </w:p>
    <w:p>
      <w:pPr>
        <w:spacing w:before="20" w:after="20"/>
        <w:ind w:left="170"/>
      </w:pPr>
      <w:r>
        <w:rPr>
          <w:rFonts w:ascii="Calibri" w:hAnsi="Calibri"/>
          <w:b/>
          <w:color w:val="4A6B25"/>
          <w:sz w:val="15"/>
        </w:rPr>
        <w:t xml:space="preserve">6. </w:t>
      </w:r>
      <w:r>
        <w:rPr>
          <w:rFonts w:ascii="Calibri" w:hAnsi="Calibri"/>
          <w:b w:val="0"/>
          <w:color w:val="3A4A28"/>
          <w:sz w:val="17"/>
        </w:rPr>
        <w:t>Bloomberg Law — PE Governance Structure: General Atlantic and Warburg Pincus Veto Rights over CEO Selection and Major Corporate Decisions</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