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ALNY</w:t>
      </w:r>
      <w:r>
        <w:rPr>
          <w:rFonts w:ascii="Calibri" w:hAnsi="Calibri"/>
          <w:b/>
          <w:color w:val="1A2010"/>
          <w:sz w:val="40"/>
        </w:rPr>
        <w:t xml:space="preserve">  Alnylam Pharmaceuticals, Inc.</w:t>
      </w:r>
    </w:p>
    <w:p>
      <w:pPr>
        <w:spacing w:after="120"/>
      </w:pPr>
      <w:r>
        <w:rPr>
          <w:rFonts w:ascii="Calibri" w:hAnsi="Calibri"/>
          <w:b/>
          <w:color w:val="6E8450"/>
          <w:sz w:val="18"/>
        </w:rPr>
        <w:t>GROWTH SLEEVE · 2026-09-20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Alnylam Pharmaceuticals is the global leader in RNA interference (RNAi) therapeutics, with six approved medicines including AMVUTTRA/ONPATTRO (ATTR amyloidosis), GIVLAARI (acute hepatic porphyria), OXLUMO (primary hyperoxaluria), Leqvio (hypercholesterolemia, with Novartis), and Qfitlia (hemophilia). Founded in 2002 in Cambridge, Massachusetts, the company's breakthrough expansion of AMVUTTRA into ATTR cardiomyopathy (ATTR-CM) has transformed its revenue trajectory. Q2 2026 global net product revenues reached $1,172M (+74% YoY) driven by TTR revenues of $1,030M (+89%), with FY2026 TTR revenue guidance of $4,200-$4,500M.</w:t>
      </w:r>
    </w:p>
    <w:p>
      <w:r>
        <w:rPr>
          <w:rFonts w:ascii="Calibri" w:hAnsi="Calibri"/>
          <w:b/>
          <w:color w:val="6E8450"/>
          <w:sz w:val="18"/>
        </w:rPr>
        <w:t>2,500 Employees · https://www.alnylam.com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Alnylam has achieved one of biotech's most remarkable transformations — bringing RNAi technology from concept to six approved medicines over two decades, persisting through the 'RNAi winter' when the field was widely abandoned. The AMVUTTRA expansion into ATTR-CM (cardiomyopathy) opened a massive new market, driving quarterly revenues from ~$650M to over $1.17B in under two years [1]. Q1 2026 exceeded $1B in quarterly revenue for the first time, and Q2 delivered $1,172M (+74% YoY) [1]. AI Deployment (1/2): Alnylam formed a strategic collaboration with Inceptive Nucleics valued at up to $2B ($30M upfront) to apply generative AI to siRNA drug design, integrating AI models with Alnylam's proprietary RNAi research operations [2]. While promising, this is still exploratory with no quantified revenue from AI-designed drugs yet. Market Share (2/2): Alnylam is the category creator and undisputed leader in RNAi therapeutics — it essentially invented the commercial application of RNA interference. AMVUTTRA dominates the ATTR treatment market, and no competitor has a comparable breadth of approved RNAi medicines [1]. Product Pipeline (2/2): Deep pipeline with specific candidates and timelines — Nucresiran (Phase 3, ATTR), Zilebesiran (Phase 3, hypertension), Cemdisiran (Phase 3, multiple indications), Mivelsiran (Phase 1/2, Alzheimer's/cerebral amyloid angiopathy), ALN-2232 (Phase 1, obesity), ALN-6400 (Phase 1, bleeding disorders) [1]. R&amp;D Intensity (1/1): Heavy R&amp;D investment characteristic of biotech; the company spent decades investing before profitability, and the Inceptive AI collaboration adds further R&amp;D capability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Alnylam's purpose of 'Accepting Challenges to Improve the Health of Humanity' is specific, thoughtful, and genuinely connects the company's RNAi science to a higher purpose [3]. It reflects the company's two-decade persistence in bringing transformative medicines to patients with devastating diseases. The mission differentiates from generic pharma statements and has clearly shaped strategic decisions (e.g., persisting with RNAi when others abandoned it). Stops short of the 4-point level because the company has only recently achieved commercial success, so the mission hasn't been validated through decades of profitable execution. Community Impact (1/2): Alnylam publishes annual Corporate Responsibility Reports, with their framework spanning Patients, Science, Employees, Communities, Planet, and Governance pillars [3]. Patient access programs for rare disease medicines demonstrate community commitment, but no specific philanthropic dollar amounts or distinctive community investment programs were identified. Employee Retention (0/2): Glassdoor culture rating of 2.8/5 with only 47% of employees recommending the company, and culture ratings declining 21% over the past year [2]. Work-life balance rated 3.0/5, down 22% year-over-year. These quantitative signals indicate deteriorating employee sentiment as the company scales its commercial operations. Insider Buying (0/2): No evidence of meaningful net insider buying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D/E of 220.6% is elevated ($2.99B debt offset by $3.31B cash, net cash position) but scores 0.35 against the 70% target — the one material weakness [4]. ROE of 96.6% is extraordinarily high at 2x weight, reflecting the leverage on a thin equity base as the company transitions from losses to profitability [4]. Revenue growth YoY of 66.9% vastly exceeds the 10% target, scoring full marks, and the 5-year revenue CAGR of approximately 40% (from ~$895M in 2021 to ~$4.8B TTM) scores full marks at 2x weight [1][4]. Forward P/E of 19.2 is just below the 20 target, scoring nearly full marks [4]. Profit margin of 16.1% approaches the 20% target (0.81 score) and is expanding rapidly as the ATTR-CM launch drives operating leverage [1]. Forward PEG of 0.31 is exceptional, scoring full marks at 2x weight [4]. Liquidity passes: $239.56 x 1.84M avg volume = ~$440.8M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Alnylam demonstrates strong infinite game characteristics in its scientific persistence — investing for 20+ years in RNAi technology through the 'RNAi winter' when the field was widely abandoned, taking massive financial losses to prove a transformative therapeutic platform. CEO Greenstreet's emphasis on 'audacity' and the smooth leadership transition from founder Maraganore reflect organizational resilience. However, declining Glassdoor scores (2.8/5 culture, down 21% YoY) as the company scales commercially undermine the trust dimension, suggesting the culture that sustained the company through its research phase is eroding under commercial pressures.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Alnylam's purpose of 'Accepting Challenges to Improve the Health of Humanity' through RNAi science is genuine and validated by 20+ years of consistent investment in a technology others abandoned [1][3]. The company persisted through the 'RNAi winter' when many questioned whether the technology would ever work, burning through billions in accumulated losses to prove the platform. Strategic decisions clearly trace back to this purpose. However, the company is still relatively early in its commercial phase (profitable only since ~2024), so the cause hasn't been tested through decades of commercial success and multiple leadership transitions.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reveals a deteriorating culture — 2.8/5 culture rating (16% below industry average), only 47% of employees would recommend the company, and culture ratings declined 21% over the past year [2]. Work-life balance scored 3.0/5, down 22% year-over-year. One review described 'Nasty, brutish &amp; short: life as a contractor' while others noted 'rapid turnover and drastic cultural shifts' in departments beyond research [2]. The scientific teams maintain elements of the original 'Alnylam way,' but the broader organization appears to be experiencing significant cultural strain as it scales from a research-focused biotech to a commercial pharmaceutical company.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Alnylam operates in a competitive landscape with Ionis Pharmaceuticals, Arrowhead Pharmaceuticals, and other RNA therapeutics companies. The formation of the Inceptive AI collaboration and continuous platform investment suggest a self-improvement orientation rather than a competitor-destruction mindset. The company's focus on expanding the RNAi modality across multiple therapeutic areas reflects confidence in improving its own capabilities rather than obsessing over rivals' activities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Alnylam successfully pivoted from a rare disease-focused company (hATTR amyloidosis, acute hepatic porphyria) to a cardiovascular powerhouse through the AMVUTTRA expansion into ATTR-CM, a market orders of magnitude larger than the original rare disease indication [1]. This pivot fundamentally changed the company's scale and commercial trajectory. The diversifying pipeline into hypertension (Zilebesiran), obesity (ALN-2232), and Alzheimer's (Mivelsiran) further demonstrates strategic evolution beyond the original rare disease focus.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Alnylam's leadership demonstrated extraordinary courage by investing billions over 20+ years in RNAi technology during the 'RNAi winter' when the scientific community questioned whether the technology would ever produce viable medicines [1]. Founder John Maraganore and current CEO Yvonne Greenstreet maintained R&amp;D investment through years of accumulated losses ($7B+ in cumulative net losses before profitability), choosing long-term scientific capability over short-term financial performance. This represents one of biotech's most sustained examples of sacrificing near-term results for transformative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Alnylam is executing one of biotech's most impressive commercial launches — Q2 2026 global net product revenues of $1,172M grew 74% YoY, driven by TTR revenues of $1,030M (+89%) as AMVUTTRA captures the massive ATTR-CM market [1]. The company exceeded $1B in quarterly revenue for the first time in Q1 2026 and is guiding to $4,200-$4,500M in TTR revenue for FY2026, representing ~75% growth [1]. At 19.2x forward earnings with a PEG of 0.31, the stock offers exceptional growth-adjusted value for a category-defining biotech with $3.3B cash and a deep pipeline spanning cardiology, neurology, obesity, and metabolic diseases [4]. ROE of 96.6% and operating cash flow of $912M demonstrate the profit inflection point has arrived after 20+ years of investment. The $2B Inceptive AI collaboration could further accelerate pipeline productivity [2].</w:t>
      </w:r>
    </w:p>
    <w:p>
      <w:pPr>
        <w:spacing w:after="120"/>
      </w:pPr>
      <w:r>
        <w:rPr>
          <w:rFonts w:ascii="Calibri" w:hAnsi="Calibri"/>
          <w:b w:val="0"/>
          <w:color w:val="3A4A28"/>
          <w:sz w:val="20"/>
        </w:rPr>
        <w:t>The bear case centers on concentration risk, competitive threats, and internal challenges. FY2026 TTR revenue guidance was lowered from $4,400-$4,700M to $4,200-$4,500M as second-line ATTR-CM demand normalized after initial pent-up uptake, signaling that the launch trajectory may slow faster than expected [1]. D/E of 221% reflects nearly $3B in debt, though offset by $3.3B cash, the leverage creates interest expense burden [4]. The pipeline is deep but clinical trial failures are inherent to biotech — Phase 3 failures in any key program (Zilebesiran, Cemdisiran, Nucresiran) would be material. Glassdoor's declining culture scores (2.8/5, down 21% YoY) with only 47% employee recommendation rate suggest the organizational culture that sustained Alnylam through its research phase is straining under commercial scaling pressures [2]. The trailing P/E of 41.7x reflects elevated expectations that leave little room for disappointment. Competitors including Ionis and Arrowhead continue to develop rival RNA therapeutics platforms.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ATTR-CM market penetration remains early — AMVUTTRA TTR revenues of $1,030M in Q2 2026 growing 89% YoY with significant undiagnosed patient population offering multi-year growth runway [1]</w:t>
      </w:r>
    </w:p>
    <w:p>
      <w:pPr>
        <w:spacing w:before="40" w:after="40"/>
        <w:ind w:left="283"/>
      </w:pPr>
      <w:r>
        <w:rPr>
          <w:rFonts w:ascii="Calibri" w:hAnsi="Calibri"/>
          <w:b/>
          <w:color w:val="4A6B25"/>
          <w:sz w:val="20"/>
        </w:rPr>
        <w:t xml:space="preserve">2. </w:t>
      </w:r>
      <w:r>
        <w:rPr>
          <w:rFonts w:ascii="Calibri" w:hAnsi="Calibri"/>
          <w:b w:val="0"/>
          <w:color w:val="3A4A28"/>
          <w:sz w:val="20"/>
        </w:rPr>
        <w:t>Phase 3 pipeline readouts in cardiology (Nucresiran), hypertension (Zilebesiran), and autoimmune (Cemdisiran) could unlock additional billion-dollar markets beyond ATTR [1]</w:t>
      </w:r>
    </w:p>
    <w:p>
      <w:pPr>
        <w:spacing w:before="40" w:after="40"/>
        <w:ind w:left="283"/>
      </w:pPr>
      <w:r>
        <w:rPr>
          <w:rFonts w:ascii="Calibri" w:hAnsi="Calibri"/>
          <w:b/>
          <w:color w:val="4A6B25"/>
          <w:sz w:val="20"/>
        </w:rPr>
        <w:t xml:space="preserve">3. </w:t>
      </w:r>
      <w:r>
        <w:rPr>
          <w:rFonts w:ascii="Calibri" w:hAnsi="Calibri"/>
          <w:b w:val="0"/>
          <w:color w:val="3A4A28"/>
          <w:sz w:val="20"/>
        </w:rPr>
        <w:t>Inceptive AI collaboration ($2B potential value) could accelerate siRNA drug design productivity, expanding the addressable pipeline and reducing development timelines across therapeutic areas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ATTR-CM launch normalization — FY2026 TTR guidance was lowered $200M as second-line demand pent-up was satisfied, and further deceleration could compress growth multiples [1]</w:t>
      </w:r>
    </w:p>
    <w:p>
      <w:pPr>
        <w:spacing w:before="40" w:after="40"/>
        <w:ind w:left="283"/>
      </w:pPr>
      <w:r>
        <w:rPr>
          <w:rFonts w:ascii="Calibri" w:hAnsi="Calibri"/>
          <w:b/>
          <w:color w:val="4A6B25"/>
          <w:sz w:val="20"/>
        </w:rPr>
        <w:t xml:space="preserve">2. </w:t>
      </w:r>
      <w:r>
        <w:rPr>
          <w:rFonts w:ascii="Calibri" w:hAnsi="Calibri"/>
          <w:b w:val="0"/>
          <w:color w:val="3A4A28"/>
          <w:sz w:val="20"/>
        </w:rPr>
        <w:t>Clinical trial failure risk across the deep pipeline — Zilebesiran (hypertension), Cemdisiran (autoimmune), or Mivelsiran (Alzheimer's) Phase 3 failures would materially reduce the pipeline's perceived value and long-term revenue potential [1]</w:t>
      </w:r>
    </w:p>
    <w:p>
      <w:pPr>
        <w:spacing w:before="40" w:after="40"/>
        <w:ind w:left="283"/>
      </w:pPr>
      <w:r>
        <w:rPr>
          <w:rFonts w:ascii="Calibri" w:hAnsi="Calibri"/>
          <w:b/>
          <w:color w:val="4A6B25"/>
          <w:sz w:val="20"/>
        </w:rPr>
        <w:t xml:space="preserve">3. </w:t>
      </w:r>
      <w:r>
        <w:rPr>
          <w:rFonts w:ascii="Calibri" w:hAnsi="Calibri"/>
          <w:b w:val="0"/>
          <w:color w:val="3A4A28"/>
          <w:sz w:val="20"/>
        </w:rPr>
        <w:t>Cultural deterioration as Alnylam scales commercially — Glassdoor culture rating of 2.8/5 (down 21% YoY) with 47% recommend rate suggests talent retention and innovation velocity may be impaired during a critical growth phase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Alnylam's core business — discovering, developing, manufacturing, and commercializing RNA interference therapeutics — involves physical biological processes that AI structurally cannot displace [1]. Drug development requires wet-lab research, clinical trials with human patients, FDA regulatory approval, and sterile manufacturing of biological molecules — none of which can be replaced by software. FDA regulation creates massive barriers to entry that protect incumbents. AI actually increases demand for better drug design tools, which is why Alnylam formed the $2B Inceptive AI collaboration to enhance its pipeline productivity [2]. The company's two-decade accumulated expertise in RNAi chemistry, delivery mechanisms, and manufacturing creates proprietary knowledge that AI cannot readily replicate. AI Opportunity (1/1): The Inceptive Nucleics collaboration ($30M upfront, up to $2B total value) directly applies generative AI to siRNA drug design, representing meaningful AI-related investment that could accelerate pipeline productivity and expand the addressable market for RNAi therapeutics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Alnylam Pharmaceuticals Q2 2026 Earnings Release — Global Net Product Revenues $1,172M (+74% YoY), TTR Revenues $1,030M (+89%), Revised FY2026 TTR Guidance $4,200-$4,500M, July 2026</w:t>
      </w:r>
    </w:p>
    <w:p>
      <w:pPr>
        <w:spacing w:before="20" w:after="20"/>
        <w:ind w:left="170"/>
      </w:pPr>
      <w:r>
        <w:rPr>
          <w:rFonts w:ascii="Calibri" w:hAnsi="Calibri"/>
          <w:b/>
          <w:color w:val="4A6B25"/>
          <w:sz w:val="15"/>
        </w:rPr>
        <w:t xml:space="preserve">2. </w:t>
      </w:r>
      <w:r>
        <w:rPr>
          <w:rFonts w:ascii="Calibri" w:hAnsi="Calibri"/>
          <w:b w:val="0"/>
          <w:color w:val="3A4A28"/>
          <w:sz w:val="17"/>
        </w:rPr>
        <w:t>Alnylam CEO Yvonne Greenstreet Leadership Profile, Inceptive AI Collaboration ($2B value), Glassdoor Reviews (2.8/5 Culture, 47% Recommend), Comparably Executive Data,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Alnylam Corporate Responsibility Report, ESG Framework (Patients/Science/Employees/Communities/Planet/Governance), CSRHub Ratings,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StockAnalysis — ALNY Financial Data: Price $239.56, Forward P/E 19.2, PEG 0.31, D/E 220.6%, ROE 96.6%, Profit Margin 16.1%, Avg Volume 1.84M,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