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ALP</w:t>
      </w:r>
      <w:r>
        <w:rPr>
          <w:rFonts w:ascii="Calibri" w:hAnsi="Calibri"/>
          <w:b/>
          <w:color w:val="1A2010"/>
          <w:sz w:val="40"/>
        </w:rPr>
        <w:t xml:space="preserve">  Alpha Compute Corp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Asset Management · NASDAQ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Formerly AlphaTON Capital; rebranded as Alpha Compute to build GPU-as-a-Service and AI confidential computing infrastructure, and recently acquired a majority of gaming network GAMEE.</w:t>
      </w:r>
    </w:p>
    <w:p>
      <w:r>
        <w:rPr>
          <w:rFonts w:ascii="Calibri" w:hAnsi="Calibri"/>
          <w:b/>
          <w:color w:val="6E8450"/>
          <w:sz w:val="18"/>
        </w:rPr>
        <w:t>https://www.alphacompute.ai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1/3: pivot from a TON-ecosystem treasury vehicle to AI GPU compute and the GAMEE acquisition (120M users, $3.5M 2025 revenue) [1]. AI 1/2: a $32.2M two-year off-take with a frontier AI lab closed in May 2026 but revenue is not yet material to reported results. Share 0/2, pipeline 1/2 (ALPHA-03/04 clusters and a stated $200M+ qualified pipeline lack dates), R&amp;D 0/1.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2/4: CEO Brittany Kaiser articulates privacy-by-design and data sovereignty, calling the rebrand 'structural, not cosmetic' [2], which is clear but unproven by execution. Community 0/2, retention 0/2 and insider buying 0/2: no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mechanically (Growth sleeve). D/E 2.1% scores 1.0; ROE -1,356%, forward P/E -25.8 and profit margin 0% all score 0; revenue growth metrics and PEG unavailable and excluded. Weighted 1.0 of 5 gives 2. Liquidity floor clear: about $19.9M daily dollar volume, but market cap is only about $6.8M per yfinance.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Alpha Compute is early and financially fragile; its stated cause is appealing but unproven and the company is playing for survival.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privacy and data sovereignty is distinctive in rhetoric, but the company has changed identity multiple times and the cause has not shaped a multi-year record.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small, no major culture red flags found, but no tenure or empowerment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competitive learning; positioned against hyperscalers on sovereignty.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moved from crypto treasury to GPU compute and gaming, which looks driven by financing pressure rather than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(0/2): no costly long-term decisions evidenced; pivots coincide with capital needs and a Nasdaq bid-price deficiency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Bull case: contracted AI compute revenue of $16.1M with a $32.2M frontier-lab off-take, $79.2M in assets and a claimed $200M+ pipeline give optionality if GPU clusters ALPHA-03/04 are funded and delivered [1]. GAMEE adds 120M users with 56% revenue CAGR.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Bear case: FY ended March 2026 net loss was $38.6M versus $6.8M, with auditors citing going-concern doubt, a Nasdaq bid-price deficiency, dilution risk, and nearly all contracted revenue falling outside the reported year [3]. The $6.8M market cap per yfinance, negative ROE of -1,356%, and gas-powered data center plans add ESG and execution risk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Delivery and revenue recognition on the $32.2M frontier AI lab off-take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Financing and activation of ALPHA-03/04 GPU clusters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GAMEE integration lifting AI network monetization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doubt and continued dilutive capital raises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Nasdaq minimum bid-price compliance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GPU rental commoditization and customer concentration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6/9: demand for GPU compute and confidential computing is rising with enterprise AI workloads, but GPU rental is commoditizing and the company is subscale with going-concern doubt [3]. AI Opportunity 1/1: $16.1M annual contracted revenue and a $23M projected run-rate from AI compute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Alpha Compute Corp Form 6-K, Barchart release and 20-F/A,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Alpha Compute CEO profile, Yahoo Finance / alphacompute.ai,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Alpha Compute Form 20-F summaries (Stock Titan),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 Titan: Alpha Compute oil and gas assets update,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