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ALTO</w:t>
      </w:r>
      <w:r>
        <w:rPr>
          <w:rFonts w:ascii="Calibri" w:hAnsi="Calibri"/>
          <w:b/>
          <w:color w:val="1A2010"/>
          <w:sz w:val="40"/>
        </w:rPr>
        <w:t xml:space="preserve">  Alto Ingredients, Inc.</w:t>
      </w:r>
    </w:p>
    <w:p>
      <w:pPr>
        <w:spacing w:after="120"/>
      </w:pPr>
      <w:r>
        <w:rPr>
          <w:rFonts w:ascii="Calibri" w:hAnsi="Calibri"/>
          <w:b/>
          <w:color w:val="6E8450"/>
          <w:sz w:val="18"/>
        </w:rPr>
        <w:t>GROWTH SLEEVE · 2026-09-16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Alto Ingredients produces, distributes, and markets specialty alcohols, renewable fuel, and essential ingredients. The company operates production facilities in Pekin, Illinois and the Western U.S., serving health and beauty, food and beverage, industrial, agricultural feed, and fuel markets through its Marketing and Distribution, Pekin Campus Production, and Western Production segments. Formerly Pacific Ethanol (renamed January 2021). Q2 2026 marked the fourth consecutive quarter of positive net income with $11.4M ($0.15 EPS), confirming the turnaround trajectory.</w:t>
      </w:r>
    </w:p>
    <w:p>
      <w:r>
        <w:rPr>
          <w:rFonts w:ascii="Calibri" w:hAnsi="Calibri"/>
          <w:b/>
          <w:color w:val="6E8450"/>
          <w:sz w:val="18"/>
        </w:rPr>
        <w:t>390 Employees · https://www.altoingredients.com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Q2 2026 delivered $16.6M gross profit and $11.4M net income ($0.15 EPS), marking the fourth consecutive quarter of positive profitability across all measures — a substantial turnaround from $128.6M in cumulative losses over FY2022-2024 [1]. Q1 2026 beat EPS consensus by 200% ($0.05 vs expected -$0.05). However, the improvement is driven by improved ethanol crush margins, stronger export sales, and a richer product mix rather than by new product launches or transformative innovation. AI Deployment (1/2): Alto achieves approximately 10% estimated energy savings from AI-driven maintenance and monitoring across production facilities — a quantified operational deployment beyond mere exploration, though specific dollar savings are not publicly disclosed [2]. Market Share (1/2): The Pekin Campus is one of the largest ethanol production complexes in the U.S., and Alto has a meaningful position in USP-grade specialty alcohols serving healthcare and beverage supply chains, but the company competes in a commoditized market with limited differentiation against larger competitors [1]. Product Pipeline (0/2): No next-generation products with specific timelines or revenue visibility. Growth depends on CO2 processing capacity expansion at Columbia, 45Z clean fuel tax credit qualification, and continued specialty alcohol mix-shift — all policy or commodity-dependent rather than product-driven. R&amp;D Intensity (1/1): Investment in CCS technology, AI-driven maintenance systems, and specialty alcohol diversification represents above-average innovation activity for the ethanol industry, supported by new board members with energy transition expertise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Alto's purpose centers on producing 'essential ingredients' and 'renewable fuel,' which is operationally accurate but generic — interchangeable with any ethanol producer or specialty chemicals company. No articulated Just Cause or higher-order purpose beyond the business description [2]. Community Impact (1/2): Alto has established an ESG Board subcommittee, received an EcoVadis Bronze Medal (71st percentile) at the Pekin facility, completed a SMETA 4-pillar audit in 2025, and appointed new board directors with energy transition and renewable energy expertise [3]. The company is a major employer in Pekin, Illinois. However, no distinctive charitable programs or specific dollar amounts for community investment were identified. Employee Retention (1/2): CEO Bryon McGregor was promoted from CFO in August 2023 after joining in 2008 (18-year tenure), representing strong internal talent development and institutional knowledge retention. COO Todd Benton and CFO Robert Olander provide continuity through the turnaround period [2]. However, with only 390 employees in industrial production, there is limited public data on organizational culture. Insider Buying (0/2): No meaningful insider buying by senior executives. Previous screens identified a single immaterial purchase of 3,176 shares ($3,364). The absence of significant personal conviction is notable given the stock's multi-year appreciation from under $2 to over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Alto's financial profile has materially improved with the sustained turnaround. ROE surged to 22.23% (from 12.63% last screen), now well above the 15% target, scoring a perfect 1.0 with 2x weight as profitability builds on the specialty alcohol shift [4]. D/E of 31.91% is conservative. Forward P/E of 12.39x is deeply discounted. PEG of 0.8 is below the 1.0 target, scoring perfectly with 2x weight, reflecting market expectations of continued earnings improvement. Revenue growth YoY of 12.5% (most recent quarter) approaches the 10% target, driven by stronger export sales and richer product mix [1]. The persistent drags are profit margin of 5.51% (well below 20% target, though improved from 3.20%) and 5-year revenue CAGR of approximately 0% ($918M FY2025 versus ~$915M in FY2020), reflecting the commodity ethanol industry's structural decline that the specialty pivot is beginning to offset [4]. Liquidity floor cleared: $4.09 × 2.18M = $8.9M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Alto Ingredients operates with a predominantly finite mindset, focused on surviving commodity cycles and extracting value from policy incentives (45Z tax credits, CCS). While the four consecutive quarters of profitability confirm the operational turnaround, the company's strategy remains reactive to market conditions and regulatory opportunities rather than driven by an enduring purpose. The rebrand from Pacific Ethanol was cosmetic, and the specialty alcohol mix-shift is a survival adaptation rather than a purpose-driven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Alto's purpose of producing 'essential ingredients' and 'renewable fuel' is operationally accurate but reads as marketing rather than a Just Cause in Sinek's framework [2]. The company exists to process corn into various products — there is no articulated vision of a better future that transcends the current business model. The rebrand from Pacific Ethanol to Alto Ingredients (January 2021) was a cosmetic change rather than a purposeful redefinition. New board members with energy transition expertise suggest emerging strategic intentionality, but the cause remains undefined beyond commodity processing.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McGregor's promotion from CFO after 18 years with the company (joined 2008) represents deep internal trust and institutional knowledge retention. COO Todd Benton and the broader leadership team provide stability through the turnaround period. Board additions of directors with energy transition and renewable energy expertise signal institutional maturation [2]. However, with only 390 employees in industrial production, there is limited public data on organizational culture or employee sentiment. No Glassdoor data specific to Alto Ingredients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Alto operates in a commodity market where competition is primarily on cost basis and crush margin optimization rather than strategic improvement [1]. The company's narrative focuses on production efficiency, utilization rates, and tax credit capture rather than learning from competitors' strengths. No evidence of management citing worthy rivals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Pacific Ethanol (pure commodity fuel ethanol) to Alto Ingredients (specialty alcohols, USP-grade ingredients, renewable fuel, carbon capture) represents a genuine strategic shift toward higher-margin products [1][2]. The Pekin Campus specialty return percentage has improved, and the company is pursuing CCS and CO2 processing diversification. However, these shifts are incremental adaptations driven by commodity margin pressure rather than a transformative reinvention of the business model — Alto remains fundamentally a corn-to-ethanol processor.</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Alto's strategic moves — rebranding, pursuing specialty alcohols, capturing 45Z tax credits — are rational survival decisions driven by necessity after three consecutive loss years ($128.6M cumulative from FY2022-2024) [1]. The Q2 2026 profitability ($11.4M net income) is encouraging but results from improved crush margins and cost discipline, not from leadership investing courageously for the long term. Management priorities of 'improve utilization and reliability, execute optimization projects on time and on budget' describe operational competence, not visionary courage. The absence of meaningful insider buying despite the stock's recovery further signals limited long-term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Alto Ingredients is a confirmed turnaround story with Q2 2026 delivering $11.4M net income ($0.15 EPS) — the fourth consecutive quarter of profitability across all measures, a remarkable reversal from $128.6M in cumulative losses over FY2022-2024 [1]. At $4.09 and 6.10x trailing P/E (12.39x forward), the stock offers deep value if the profitability trajectory holds. ROE has surged to 22.23% (from 12.63% last screen) as the specialty alcohol mix-shift and improved crush margins build profitability on the Pekin Campus [4]. D/E of 31.91% provides a conservative balance sheet, and PEG of 0.8 suggests the market still undervalues the earnings recovery. Q1 2026 beat EPS consensus by 200%, and H1 2026 combined net income of ~$15.4M is already ahead of FY2025's $13.3M, suggesting a significantly stronger full year. The Inspire Impact Score of 44 (ALIGNED) makes this one of the few turnaround stories that also meets faith-based allocation criteria. Analysts rate the stock a Strong Buy with a $9.00 target (120% upside) [4].</w:t>
      </w:r>
    </w:p>
    <w:p>
      <w:pPr>
        <w:spacing w:after="120"/>
      </w:pPr>
      <w:r>
        <w:rPr>
          <w:rFonts w:ascii="Calibri" w:hAnsi="Calibri"/>
          <w:b w:val="0"/>
          <w:color w:val="3A4A28"/>
          <w:sz w:val="20"/>
        </w:rPr>
        <w:t>The bear case centers on the fragility of commodity-dependent profitability and structural industry headwinds. Profit margin of 5.51% provides minimal buffer against ethanol/corn crush spread compression, which can reverse rapidly with commodity price swings — the turnaround is built on favorable crush margins that are cyclical, not structural [1][4]. Forward EPS of $0.33 versus trailing EPS of $0.67 signals analyst expectations of a 51% earnings decline, suggesting the recent profitability may not be sustainable at current levels. Revenue has declined from $1.34B in FY2022 to $943M TTM with a 5-year CAGR of approximately 0%, reflecting the ethanol industry's structural headwinds from EV adoption and declining gasoline demand. At $317M market cap with only 390 employees, Alto lacks the scale to invest in meaningful R&amp;D or market differentiation. Policy dependency on 45Z clean fuel tax credits and Renewable Fuel Standard mandates creates political risk — any changes could eliminate a significant earnings component. The absence of meaningful insider buying despite the operational turnaround raises questions about long-term leadership conviction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Fourth consecutive quarter of profitability in Q2 2026 ($11.4M net income, $0.15 EPS) confirms the turnaround is durable, with H1 2026 net income of ~$15.4M already exceeding full FY2025's $13.3M [1]</w:t>
      </w:r>
    </w:p>
    <w:p>
      <w:pPr>
        <w:spacing w:before="40" w:after="40"/>
        <w:ind w:left="283"/>
      </w:pPr>
      <w:r>
        <w:rPr>
          <w:rFonts w:ascii="Calibri" w:hAnsi="Calibri"/>
          <w:b/>
          <w:color w:val="4A6B25"/>
          <w:sz w:val="20"/>
        </w:rPr>
        <w:t xml:space="preserve">2. </w:t>
      </w:r>
      <w:r>
        <w:rPr>
          <w:rFonts w:ascii="Calibri" w:hAnsi="Calibri"/>
          <w:b w:val="0"/>
          <w:color w:val="3A4A28"/>
          <w:sz w:val="20"/>
        </w:rPr>
        <w:t>Specialty alcohol mix-shift driving margin expansion as Pekin Campus specialty return percentage continues to improve, moving the company away from commodity ethanol toward higher-margin USP-grade ingredients for healthcare and beverage [1]</w:t>
      </w:r>
    </w:p>
    <w:p>
      <w:pPr>
        <w:spacing w:before="40" w:after="40"/>
        <w:ind w:left="283"/>
      </w:pPr>
      <w:r>
        <w:rPr>
          <w:rFonts w:ascii="Calibri" w:hAnsi="Calibri"/>
          <w:b/>
          <w:color w:val="4A6B25"/>
          <w:sz w:val="20"/>
        </w:rPr>
        <w:t xml:space="preserve">3. </w:t>
      </w:r>
      <w:r>
        <w:rPr>
          <w:rFonts w:ascii="Calibri" w:hAnsi="Calibri"/>
          <w:b w:val="0"/>
          <w:color w:val="3A4A28"/>
          <w:sz w:val="20"/>
        </w:rPr>
        <w:t>45Z clean fuel tax credits and CO2 processing capacity expansion at Columbia provide non-operational earnings supplement and diversification into carbon capture economics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margin fragility — profit margin of 5.51% provides minimal buffer against ethanol/corn crush spread compression, and forward EPS of $0.33 vs trailing $0.67 signals expected earnings normalization or decline [1][4]</w:t>
      </w:r>
    </w:p>
    <w:p>
      <w:pPr>
        <w:spacing w:before="40" w:after="40"/>
        <w:ind w:left="283"/>
      </w:pPr>
      <w:r>
        <w:rPr>
          <w:rFonts w:ascii="Calibri" w:hAnsi="Calibri"/>
          <w:b/>
          <w:color w:val="4A6B25"/>
          <w:sz w:val="20"/>
        </w:rPr>
        <w:t xml:space="preserve">2. </w:t>
      </w:r>
      <w:r>
        <w:rPr>
          <w:rFonts w:ascii="Calibri" w:hAnsi="Calibri"/>
          <w:b w:val="0"/>
          <w:color w:val="3A4A28"/>
          <w:sz w:val="20"/>
        </w:rPr>
        <w:t>Revenue stagnation at 0% 5-year CAGR ($918M FY2025 vs ~$915M FY2020 as Pacific Ethanol) with structural headwinds from EV adoption, declining gasoline demand, and limited differentiation in a commoditized market [4]</w:t>
      </w:r>
    </w:p>
    <w:p>
      <w:pPr>
        <w:spacing w:before="40" w:after="40"/>
        <w:ind w:left="283"/>
      </w:pPr>
      <w:r>
        <w:rPr>
          <w:rFonts w:ascii="Calibri" w:hAnsi="Calibri"/>
          <w:b/>
          <w:color w:val="4A6B25"/>
          <w:sz w:val="20"/>
        </w:rPr>
        <w:t xml:space="preserve">3. </w:t>
      </w:r>
      <w:r>
        <w:rPr>
          <w:rFonts w:ascii="Calibri" w:hAnsi="Calibri"/>
          <w:b w:val="0"/>
          <w:color w:val="3A4A28"/>
          <w:sz w:val="20"/>
        </w:rPr>
        <w:t>Policy dependency on 45Z clean fuel tax credits and Renewable Fuel Standard mandates, which are subject to political changes that could eliminate a meaningful portion of earnings for a company with thin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Ethanol production, specialty alcohol manufacturing, and essential ingredient processing are physical-world industrial operations that AI cannot displace [1]. The production process requires corn procurement, fermentation, distillation, and logistics infrastructure — all fundamentally physical activities. Regulatory mandates (Renewable Fuel Standard, 45Z clean fuel credits) drive demand independently of technology disruption. AI cannot substitute for liquid fuel blending requirements, specialty alcohol chemistry, or the physical supply chain. The commoditized nature of ethanol means margins are set by physical supply/demand dynamics (corn/ethanol crush spreads), not information asymmetries vulnerable to AI exploitation. AI Opportunity (0/1): Alto does not generate revenue from AI products or services. The company's AI-driven maintenance and monitoring (~10% energy savings) is an internal operational efficiency tool, not a revenue-generating AI product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Alto Ingredients Q2 2026 Results — Gross profit $16.6M, net income $11.4M ($0.15 EPS), 4th consecutive profitable quarter; Q1 2026: $224.7M revenue, $4.0M net income, beat consensus by 200% — GlobeNewsWire, Investing.com, Simply Wall St, May-August 2026</w:t>
      </w:r>
    </w:p>
    <w:p>
      <w:pPr>
        <w:spacing w:before="20" w:after="20"/>
        <w:ind w:left="170"/>
      </w:pPr>
      <w:r>
        <w:rPr>
          <w:rFonts w:ascii="Calibri" w:hAnsi="Calibri"/>
          <w:b/>
          <w:color w:val="4A6B25"/>
          <w:sz w:val="15"/>
        </w:rPr>
        <w:t xml:space="preserve">2. </w:t>
      </w:r>
      <w:r>
        <w:rPr>
          <w:rFonts w:ascii="Calibri" w:hAnsi="Calibri"/>
          <w:b w:val="0"/>
          <w:color w:val="3A4A28"/>
          <w:sz w:val="17"/>
        </w:rPr>
        <w:t>Alto Ingredients Corporate — CEO Bryon McGregor (18-year tenure), COO Todd Benton, AI maintenance savings ~10% energy, new board directors with energy transition expertise, ESG Board subcommittee — AltoIngredients.com, LevelFields, 2026</w:t>
      </w:r>
    </w:p>
    <w:p>
      <w:pPr>
        <w:spacing w:before="20" w:after="20"/>
        <w:ind w:left="170"/>
      </w:pPr>
      <w:r>
        <w:rPr>
          <w:rFonts w:ascii="Calibri" w:hAnsi="Calibri"/>
          <w:b/>
          <w:color w:val="4A6B25"/>
          <w:sz w:val="15"/>
        </w:rPr>
        <w:t xml:space="preserve">3. </w:t>
      </w:r>
      <w:r>
        <w:rPr>
          <w:rFonts w:ascii="Calibri" w:hAnsi="Calibri"/>
          <w:b w:val="0"/>
          <w:color w:val="3A4A28"/>
          <w:sz w:val="17"/>
        </w:rPr>
        <w:t>Alto Ingredients ESG — EcoVadis Bronze Medal (71st percentile), SMETA 4-pillar audit, sustainability report, materiality assessment — IR.AltoIngredients.com, CSRHub,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ALTO Key Statistics: PE 6.10x, Forward PE 12.39x, PEG 0.80, ROE 22.23%, D/E 31.91%, Profit Margin 5.51%, Price $4.09,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