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AMAT</w:t>
      </w:r>
      <w:r>
        <w:rPr>
          <w:rFonts w:ascii="Calibri" w:hAnsi="Calibri"/>
          <w:b/>
          <w:color w:val="1A2010"/>
          <w:sz w:val="40"/>
        </w:rPr>
        <w:t xml:space="preserve">  Applied Materials, Inc.</w:t>
      </w:r>
    </w:p>
    <w:p>
      <w:pPr>
        <w:spacing w:after="120"/>
      </w:pPr>
      <w:r>
        <w:rPr>
          <w:rFonts w:ascii="Calibri" w:hAnsi="Calibri"/>
          <w:b/>
          <w:color w:val="6E8450"/>
          <w:sz w:val="18"/>
        </w:rPr>
        <w:t>GROWTH SLEEVE · 2026-10-13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Applied Materials, Inc. is the world's largest semiconductor equipment company, providing manufacturing equipment, services, and software to the global semiconductor and display industries. Core products include chemical vapor deposition, physical vapor deposition, etch, chemical mechanical planarization, metrology, and inspection systems. The company also provides advanced packaging solutions for high-bandwidth memory (HBM) and AI chip interconnects. Q3 FY2026 delivered record revenue of $9.12B (+25% YoY) driven by AI infrastructure spending, with Q4 FY2026 guidance of $9.75-10.75B implying continued acceleration. The $5B EPIC R&amp;D center anchors CEO Gary Dickerson's 'Materials to Systems' strategy. Founded in 1967, headquartered in Santa Clara, California.</w:t>
      </w:r>
    </w:p>
    <w:p>
      <w:r>
        <w:rPr>
          <w:rFonts w:ascii="Calibri" w:hAnsi="Calibri"/>
          <w:b/>
          <w:color w:val="6E8450"/>
          <w:sz w:val="18"/>
        </w:rPr>
        <w:t>36,500 Employees · https://www.appliedmaterials.com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Applied Materials delivered record Q3 FY2026 revenue of $9.12B (+25% YoY), with Semiconductor Systems hitting $7.0B (+27%) and Applied Global Services reaching $1.8B (+22%), validating its strategic positioning at the center of the AI semiconductor buildout [1]. The $5B EPIC Center (Equipment and Process Innovation and Commercialization) is a transformative R&amp;D investment that co-develops next-gen tools directly with customers like Samsung and Intel [3]. Advanced packaging revenue continued its &gt;50% growth trajectory as HBM demand scales. AI Deployment (2/2): SEMVision H20 AI-powered eBeam defect detection system ships with embedded AI image recognition that autonomously classifies defect types and predicts yield impact [3]. Every NVIDIA and AMD AI accelerator relies on AMAT deposition and etch tools for HBM stacking — the company generates substantial, quantifiable revenue from AI chip manufacturing enablement [1]. Market Share (2/2): World's largest semiconductor equipment company by revenue with dominant positions in deposition (&gt;40% share), etch, and metrology/inspection [2]. Growing share in advanced packaging as HBM demand scales. Decades-deep competitive moats in materials engineering. Product Pipeline (2/2): Management raised the calendar 2026 semiconductor systems growth outlook to &gt;30%, with Q4 FY2026 guidance implying continued acceleration [1]. Specific visibility into leading-edge logic node transitions, HBM capacity expansion, and advanced packaging demand provides multi-quarter revenue visibility. R&amp;D Intensity (1/1): R&amp;D spending is substantial, anchored by the $5B EPIC Center — one of the largest R&amp;D facility investments in the semiconductor equipment industry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Applied Materials' purpose — 'Make possible the technology shaping the future' — is genuine and aligned with 59 years of enabling semiconductor innovation, but it is generic and interchangeable with many technology companies [3]. CEO Dickerson's statement 'We want to be the most trusted partner' adds specificity but reads more as a business strategy than a transformative vision. Community Impact (1/2): MSCI ESG Rating of AA reflects strong environmental programs including a validated SBTi Net Zero 2040 target and multiple sustainability awards [4]. However, the $252.5M settlement with the US Department of Commerce for export control violations in February 2026 is a significant compliance failure that undermines community trust [4]. Employee Retention (1/2): Glassdoor rating of 3.9/5 from 4,492 reviews with 77% recommending to a friend indicates average-to-good employee satisfaction for the semiconductor equipment sector [3]. Culture rated 3.7/5. Some negative reviews cite disorganized leadership and frequent layoffs. 36,500 employees represent a large, stable organization. Insider Buying (0/2): No evidence of notable insider buying activity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Q3 FY2026 delivered record revenue of $9.12B (up 25% YoY) with non-GAAP EPS of $3.50 (up 41%), gross margin of 50.4%, and Q4 guidance of $9.75-10.75B implying continued acceleration [1][5]. ROE of 41.07% is exceptional (score 1.0, 2x weight). D/E of 25.5% ($6.54B debt vs $25.63B equity) reflects conservative leverage with $14.5B in total liquid assets (score 1.0, 1x weight) [5]. Profit margin of 29.31% exceeds the 20% target (score 1.0, 1x weight). Revenue growth of 25% YoY beats the 10% target (score 1.0, 1x weight). Forward P/E of 26.92 is above the 20 target (score 0.83, 1x weight), and PEG of 1.60 scores 0.70 (2x weight) [2]. The 5-year revenue CAGR of ~8.5% scores 0.90 (2x weight), slightly below the 10% target due to cyclical weakness in FY2023-2024 but improving as AI demand accelerates. Liquidity floor: $497.53 x 6,844,929 = ~$3.4B daily volume, well above the $1M minimum.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Applied Materials demonstrates solid infinite game characteristics through its long-term investment in materials science capabilities, the $5B EPIC Center, and willingness to build advanced packaging capacity before the AI boom validated the strategy. CEO Gary Dickerson's 13-year tenure provides leadership continuity and strategic consistency with the 'Materials to Systems' vision [3]. However, the $252.5M export control settlement reveals compliance gaps that an infinite-minded organization should have prevented, and the mission articulation lacks the distinctiveness of truly purpose-driven organizations [4]. AMAT plays a long game by necessity — semiconductor equipment cycles are multi-year — but the infinite mindset is more structural than cultural.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'Make possible the technology shaping the future' is genuine and validated by 59 years of enabling semiconductor innovation [3]. The EPIC Center ($5B) and 'Materials to Systems' strategy demonstrate that strategic decisions trace back to this purpose. The mission has survived multiple industry cycles and leadership transitions since 1967. However, the cause is generic and does not articulate a specific human benefit beyond enabling technology broadly — it reads more like a well-articulated business strategy than a deeply held belief that would cause the company to sacrifice short-term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Gary Dickerson has led Applied Materials since 2013, providing 13 years of leadership stability [3]. Glassdoor 3.9/5 with 77% recommending to a friend indicates generally positive employee sentiment across the 36,500-person workforce. However, culture rated 3.7/5, and some reviews cite 'bad culture derived from bad leadership,' frequent layoffs hurting morale, and fear of senior management [3]. The $252.5M export control settlement implies compliance culture did not permeate all organizational levels [4]. Trust appears uneven across the large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Applied Materials competes with formidable rivals — Lam Research in etch, ASML in lithography, Tokyo Electron across multiple segments — and consistently focuses on strengthening its own materials science capabilities rather than denigrating competitors [2]. CEO Dickerson's framing of the company as 'the most trusted partner' positions competition as a service excellence race. Partnerships with Micron, Samsung, and participation in the NVIDIA Connect program demonstrate a collaborative ecosystem approach where rivals are potential partners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Applied Materials has evolved meaningfully — from basic deposition tools to advanced packaging solutions, from hardware-only to AI-enabled inspection (SEMVision H20), and the bold 'Materials to Systems' pivot expanding from component-level to system-level optimization [3]. Advanced packaging revenue growing &gt;50% validates the foresight of investing in this capability. However, these represent incremental capability extensions within the semiconductor equipment domain rather than transformative business model pivots — the company has not abandoned a core business line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$5B EPIC Center represents a significant long-term bet on co-development with customers, and the investment in advanced packaging capabilities before the AI boom validated the strategy demonstrates foresight [3]. Maintaining and expanding R&amp;D through the semiconductor cyclical weakness of FY2023-2024 shows commitment to long-term capability. However, the $252.5M export control settlement with the US Department of Commerce in February 2026 reveals compliance failures — either intentional circumvention or negligence — that undermine the ethical dimension of courageous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Applied Materials is the world's largest semiconductor equipment company and a direct, structural beneficiary of the AI infrastructure buildout, with its deposition, etch, metrology, and advanced packaging tools required at every major fabrication node [1][2]. Q3 FY2026 delivered record revenue of $9.12B (+25% YoY) with non-GAAP EPS of $3.50 (+41%), and Q4 guidance of $9.75-10.75B (midpoint $10.25B) implies further acceleration to ~30%+ growth [1]. Management raised the CY2026 semiconductor systems growth outlook to &gt;30%, and 13 consecutive quarters of YoY gross margin expansion to 50.4% demonstrates pricing power in an oligopolistic market. The balance sheet is pristine: $14.5B in liquid assets against $6.5B total debt, 41% ROE, and 29.3% profit margin [5]. At $498 the stock trades at 26.9x forward earnings with a PEG of 1.6, offering a more attractive entry than earlier in the year as earnings have accelerated while valuation multiples compressed.</w:t>
      </w:r>
    </w:p>
    <w:p>
      <w:pPr>
        <w:spacing w:after="120"/>
      </w:pPr>
      <w:r>
        <w:rPr>
          <w:rFonts w:ascii="Calibri" w:hAnsi="Calibri"/>
          <w:b w:val="0"/>
          <w:color w:val="3A4A28"/>
          <w:sz w:val="20"/>
        </w:rPr>
        <w:t>The bear case centers on cyclicality, geopolitics, and the duration of the AI capex cycle. At 26.9x forward earnings, the stock still embeds sustained double-digit growth that could disappoint if hyperscaler capex decelerates or semiconductor inventory normalizes [2]. The $252.5M export control settlement in February 2026 exposed compliance failures, and further US restrictions on semiconductor equipment exports to China (27% of revenue) could materially reduce AMAT's addressable market [4]. The 5-year revenue CAGR of only ~8.5% reminds investors that the current AI-driven acceleration follows a period of near-flat growth in FY2023-2024, and semiconductor equipment spending is inherently cyclical. The stock dropped 6% after Q3 results despite a beat, suggesting the market is already pricing in robust growth and leaving little room for disappointment. The Inspire Impact Score of -49 (MISALIGNED) limits allocation for faith-based investors. While the current growth trajectory is exceptional, the risk of multiple compression on any growth deceleration remains the key concern at this valuation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business raised to &gt;30% growth in CY2026, with Q3 FY2026's 25% revenue acceleration validating the trajectory — continued Q4 execution could drive further upward estimate revisions and potentially close the gap to BUY territory [1]</w:t>
      </w:r>
    </w:p>
    <w:p>
      <w:pPr>
        <w:spacing w:before="40" w:after="40"/>
        <w:ind w:left="283"/>
      </w:pPr>
      <w:r>
        <w:rPr>
          <w:rFonts w:ascii="Calibri" w:hAnsi="Calibri"/>
          <w:b/>
          <w:color w:val="4A6B25"/>
          <w:sz w:val="20"/>
        </w:rPr>
        <w:t xml:space="preserve">2. </w:t>
      </w:r>
      <w:r>
        <w:rPr>
          <w:rFonts w:ascii="Calibri" w:hAnsi="Calibri"/>
          <w:b w:val="0"/>
          <w:color w:val="3A4A28"/>
          <w:sz w:val="20"/>
        </w:rPr>
        <w:t>Advanced packaging revenue growing &gt;50% annually with HBM demand from NVIDIA, AMD, and hyperscaler custom silicon creating a multi-year structural demand cycle — every next-gen AI accelerator requires AMAT tools for HBM stacking [1][3]</w:t>
      </w:r>
    </w:p>
    <w:p>
      <w:pPr>
        <w:spacing w:before="40" w:after="40"/>
        <w:ind w:left="283"/>
      </w:pPr>
      <w:r>
        <w:rPr>
          <w:rFonts w:ascii="Calibri" w:hAnsi="Calibri"/>
          <w:b/>
          <w:color w:val="4A6B25"/>
          <w:sz w:val="20"/>
        </w:rPr>
        <w:t xml:space="preserve">3. </w:t>
      </w:r>
      <w:r>
        <w:rPr>
          <w:rFonts w:ascii="Calibri" w:hAnsi="Calibri"/>
          <w:b w:val="0"/>
          <w:color w:val="3A4A28"/>
          <w:sz w:val="20"/>
        </w:rPr>
        <w:t>Valuation reset from $584 to $486 while earnings accelerated to 41% YoY growth has compressed the Forward P/E from 53.5x to 28.1x, creating a more attractive entry point if growth sustains through CY2027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revenue exposure of 27% combined with the $252.5M export control settlement creates ongoing geopolitical risk — further US restrictions on semiconductor equipment exports could materially reduce addressable market and growth trajectory [4]</w:t>
      </w:r>
    </w:p>
    <w:p>
      <w:pPr>
        <w:spacing w:before="40" w:after="40"/>
        <w:ind w:left="283"/>
      </w:pPr>
      <w:r>
        <w:rPr>
          <w:rFonts w:ascii="Calibri" w:hAnsi="Calibri"/>
          <w:b/>
          <w:color w:val="4A6B25"/>
          <w:sz w:val="20"/>
        </w:rPr>
        <w:t xml:space="preserve">2. </w:t>
      </w:r>
      <w:r>
        <w:rPr>
          <w:rFonts w:ascii="Calibri" w:hAnsi="Calibri"/>
          <w:b w:val="0"/>
          <w:color w:val="3A4A28"/>
          <w:sz w:val="20"/>
        </w:rPr>
        <w:t>Semiconductor equipment spending is cyclically volatile — the 5-year revenue CAGR of ~8.5% includes near-flat FY2023-2024, and any pause in hyperscaler AI capex or inventory correction could end the current supercycle, triggering multiple compression from the 28x forward P/E [2]</w:t>
      </w:r>
    </w:p>
    <w:p>
      <w:pPr>
        <w:spacing w:before="40" w:after="40"/>
        <w:ind w:left="283"/>
      </w:pPr>
      <w:r>
        <w:rPr>
          <w:rFonts w:ascii="Calibri" w:hAnsi="Calibri"/>
          <w:b/>
          <w:color w:val="4A6B25"/>
          <w:sz w:val="20"/>
        </w:rPr>
        <w:t xml:space="preserve">3. </w:t>
      </w:r>
      <w:r>
        <w:rPr>
          <w:rFonts w:ascii="Calibri" w:hAnsi="Calibri"/>
          <w:b w:val="0"/>
          <w:color w:val="3A4A28"/>
          <w:sz w:val="20"/>
        </w:rPr>
        <w:t>Record quarterly revenue of $9.12B sets an increasingly high bar for future beats — management's raised outlook to &gt;30% growth creates expectations that any shortfall could disappoint given the 52-week range of $154-$740 reflects momentum-driven trading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Applied Materials occupies a uniquely privileged position in the AI value chain — its equipment physically manufactures the semiconductors that power every AI system in existence [1][2]. AI cannot substitute for the precision deposition, etch, and metrology tools required to fabricate chips at 3nm, 2nm, and advanced packaging nodes. The company is AI infrastructure at the most fundamental physical layer. Q3 FY2026's record $9.12B revenue (+25% YoY) was driven specifically by AI infrastructure spending on leading-edge logic, DRAM, and advanced packaging [1]. Analysts unanimously view AMAT as a structural AI beneficiary with minimal disruption risk — the primary risks are geopolitical (China export controls) and cyclical, not AI-related [4]. AI Opportunity (1/1): Semiconductor Systems set a record $7.0B in Q3 (+27% YoY), driven by AI chip manufacturing demand. Advanced packaging revenue continues &gt;50% growth tied to HBM for AI accelerators [1]. Management raised the CY2026 semiconductor systems growth outlook to &gt;30%, with AI as the dominant demand driver. SEMVision H20 embeds AI into AMAT's own products, creating a virtuous cycle where AI improves semiconductor manufacturing yields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Applied Materials Q3 FY2026 Earnings Release — Record Revenue $9.12B (+25% YoY), Non-GAAP EPS $3.50 (+41%), Gross Margin 50.4%, Semi Systems $7.0B (+27%), Applied Global Services $1.8B (+22%),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StockAnalysis — AMAT Key Statistics: Stock Price $497.53, Forward P/E 26.92, PEG 1.60, P/E 42.93, Market Cap ~$395B, Avg Volume 6.8M,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Applied Materials Innovation and Strategy — EPIC Center ($5B), SEMVision H20 AI-Powered Defect Detection, Materials to Systems Strategy, CEO Gary Dickerson, Glassdoor 3.9/5, 2025-2026</w:t>
      </w:r>
    </w:p>
    <w:p>
      <w:pPr>
        <w:spacing w:before="20" w:after="20"/>
        <w:ind w:left="170"/>
      </w:pPr>
      <w:r>
        <w:rPr>
          <w:rFonts w:ascii="Calibri" w:hAnsi="Calibri"/>
          <w:b/>
          <w:color w:val="4A6B25"/>
          <w:sz w:val="15"/>
        </w:rPr>
        <w:t xml:space="preserve">4. </w:t>
      </w:r>
      <w:r>
        <w:rPr>
          <w:rFonts w:ascii="Calibri" w:hAnsi="Calibri"/>
          <w:b w:val="0"/>
          <w:color w:val="3A4A28"/>
          <w:sz w:val="17"/>
        </w:rPr>
        <w:t>Applied Materials ESG and Compliance — MSCI AA Rating, $252.5M Export Control Settlement with US Dept of Commerce, SBTi Net Zero 2040 Target, Moderate Sustainalytics Controversy Level, February 2026</w:t>
      </w:r>
    </w:p>
    <w:p>
      <w:pPr>
        <w:spacing w:before="20" w:after="20"/>
        <w:ind w:left="170"/>
      </w:pPr>
      <w:r>
        <w:rPr>
          <w:rFonts w:ascii="Calibri" w:hAnsi="Calibri"/>
          <w:b/>
          <w:color w:val="4A6B25"/>
          <w:sz w:val="15"/>
        </w:rPr>
        <w:t xml:space="preserve">5. </w:t>
      </w:r>
      <w:r>
        <w:rPr>
          <w:rFonts w:ascii="Calibri" w:hAnsi="Calibri"/>
          <w:b w:val="0"/>
          <w:color w:val="3A4A28"/>
          <w:sz w:val="17"/>
        </w:rPr>
        <w:t>Applied Materials Q3 FY2026 10-Q — D/E 25.5% ($6.54B debt/$25.63B equity), Cash $14.5B, Operating Cash Flow $5.57B (9mo), Contract Liabilities $3.27B, RPO $1.0B, SEC Filing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