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AMC</w:t>
      </w:r>
      <w:r>
        <w:rPr>
          <w:rFonts w:ascii="Calibri" w:hAnsi="Calibri"/>
          <w:b/>
          <w:color w:val="1A2010"/>
          <w:sz w:val="40"/>
        </w:rPr>
        <w:t xml:space="preserve">  AMC Entertainment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Entertainment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AMC Entertainment is the largest movie theatre exhibitor in the United States and Europe, operating premium formats (IMAX, Dolby Cinema, PRIME) and food-and-beverage concessions. Q2 2026 revenue was a record $1,596.7M (up 14.2% YoY) with Adjusted EBITDA of $321.4M, but a 10.6% trailing profit margin loss and negative equity leave the balance sheet highly leveraged [1].</w:t>
      </w:r>
    </w:p>
    <w:p>
      <w:r>
        <w:rPr>
          <w:rFonts w:ascii="Calibri" w:hAnsi="Calibri"/>
          <w:b/>
          <w:color w:val="6E8450"/>
          <w:sz w:val="18"/>
        </w:rPr>
        <w:t>https://www.amctheatres.com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AMC's last five years brought incremental extensions (premium large formats, expanded food-and-beverage, AMC+ ticketing perks) rather than a new revenue stream or pivot [1]. AI Deployment (0/2): No AI products or quantified AI savings found in research [2]. Market Share (2/2): Largest U.S. exhibitor; domestic ticket revenue rose 11.4% in Q2 2026 versus 10.7% industry growth, and 71M guests visited, up 13.5% [1]. Pipeline (0/2): No proprietary product pipeline; results depend on studio release slates. R&amp;D (0/1): Exhibitors report no meaningful R&amp;D spend.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AMC's stated aim of delivering the best moviegoing experience is clear but not distinctive from peers [2]. Community (0/2): No distinctive charitable program with dollar figures was found; ESG disclosure is minimal with no mention of UN SDGs [3]. Retention (0/2): No retention data found; Comparably rates the executive team C- [2]. Insider Buying (0/2): No evidence of net insider buying found; CEO Adam Aron has led since 2016 amid repeated equity dilution.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stock; available metrics only. Revenue growth of 14.2% YoY (score 1.0) is the lone strength [1]. 5-year revenue CAGR of roughly -3% (2019-2024, from pre-pandemic base; score 0.12, 2x weight) reflects incomplete recovery. Forward P/E is negative at -34.6 (score 0) and profit margin is -10.6% (score 0). D/E and ROE are unavailable because equity is negative and are excluded; PEG unavailable. Weighted 1.24 of 5 available = 2.5, scored 2. Liquidity is ample at roughly $95M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AMC is playing a survival game: dilutive equity raises and heavy debt kept the company alive through the pandemic but reflect finite, short-horizon financing rather than a durable cause. A record Q2 2026 shows operating recovery, yet purpose, trust, and rivalry scores remain low.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AMC articulates a purpose around the moviegoing experience, but it reads as category marketing and is not visibly shaping strategic decisions beyond keeping theatres open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Employee sentiment of the executive team is rated C- on Comparably, and a largely part-time workforce with pandemic-era layoffs suggests low-trust conditions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learning-oriented competitive language; management frames results against industry box-office share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AMC has extended into premium formats, upscale dining, and concessions growth (F&amp;B and merchandise revenue up 15.3% in Q2 2026), but these are incremental changes within exhibition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Decisions in research center on liquidity management and equity issuance to survive; no costly long-term bet that sacrificed near-term results was found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AMC at $2.77 (market cap about $2.5B) is a high-beta turnaround recovering with the box office: Q2 2026 delivered record revenue of $1,596.7M (up 14.2%) and record Adjusted EBITDA of $321.4M (up 69.6%), with first-half Adjusted EBITDA of $359.7M versus $131.8M a year earlier. Domestic ticket revenue outgrew the industry (11.4% vs 10.7%) and food and beverage revenue rose 15.3%, showing strong operating leverage as attendance rises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balance-sheet driven. Trailing profit margin is -10.6%, equity is negative, forward P/E is negative, and the 5-year revenue CAGR is roughly -3%, so the company still has not demonstrated durable profitability. Earnings are hostage to the studio release slate and theatrical windows, and past financing relied on heavy share dilution. A weak slate or streaming-window compression would quickly erase the EBITDA recovery [1][3].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Strong 2026-2027 studio slate sustaining attendance growth after 71M guests in Q2 2026 (up 13.5%) and Adjusted EBITDA up 69.6%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Premium-format and food-and-beverage mix (F&amp;B and merchandise up 15.3%) lifting per-guest revenue and margins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Debt reduction or refinancing funded by record EBITDA, easing interest burden on a negative-equity balance sheet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Negative equity and a trailing -10.6% net margin leave little cushion; further dilution or refinancing stress would hurt equity holders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Dependence on studio release calendars and shrinking theatrical windows; a weak slate would reverse the 2026 EBITDA recovery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Structural competition from streaming and elevated ESG/regulatory disclosure requirements in the U.S. and Europe adding cost and compliance risk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Theatrical exhibition is a physical, communal experience that AI cannot substitute, and no analyst commentary in research flagged AI as a threat to attendance [2]. Residual risk sits upstream: AI-generated content could pressure studio release volume and compress the theatrical window economics, and streaming already competes for leisure time. AI Opportunity (0/1): No AI revenue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AMC Entertainment Q2 2026 Earnings Release (8-K), July 20, 2026, SEC EDGAR and Yahoo Finance call highlights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AMC Entertainment executive team and leadership profile, investor.amctheatres.com and Comparably,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AMC Entertainment ESG ratings and Form 10-K FY2025 risk factors, Yahoo Finance Sustainalytics and SEC,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