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AMD</w:t>
      </w:r>
      <w:r>
        <w:rPr>
          <w:rFonts w:ascii="Calibri" w:hAnsi="Calibri"/>
          <w:b/>
          <w:color w:val="1A2010"/>
          <w:sz w:val="40"/>
        </w:rPr>
        <w:t xml:space="preserve">  Advanced Micro Devices, Inc.</w:t>
      </w:r>
    </w:p>
    <w:p>
      <w:pPr>
        <w:spacing w:after="120"/>
      </w:pPr>
      <w:r>
        <w:rPr>
          <w:rFonts w:ascii="Calibri" w:hAnsi="Calibri"/>
          <w:b/>
          <w:color w:val="6E8450"/>
          <w:sz w:val="18"/>
        </w:rPr>
        <w:t>GROWTH SLEEVE · 2026-08-27 · Inspire: -67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Advanced Micro Devices designs high-performance computing and visualization products including CPUs (EPYC server, Ryzen client), GPUs (Instinct AI accelerators, Radeon), FPGAs, and adaptive SoCs. Under CEO Lisa Su since 2014, AMD has transformed from a struggling chipmaker to a $785B semiconductor leader and the second-largest AI GPU supplier behind NVIDIA. Q2 2026 revenue reached a record $11.5B (+50% YoY), with Data Center revenue of $6.7B (+107% YoY) driven by EPYC 5th-gen processors and Instinct MI350 Series GPUs. Data Center now represents 58% of total revenue.</w:t>
      </w:r>
    </w:p>
    <w:p>
      <w:r>
        <w:rPr>
          <w:rFonts w:ascii="Calibri" w:hAnsi="Calibri"/>
          <w:b/>
          <w:color w:val="6E8450"/>
          <w:sz w:val="18"/>
        </w:rPr>
        <w:t>31,000 Employees · https://www.amd.com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Lisa Su's AMD represents one of the greatest corporate transformations in technology history. From a company with &lt;$2B market cap and facing potential bankruptcy in 2014, AMD has delivered multiple transformative product launches: the Zen architecture (2017) that broke Intel's 15-year server CPU monopoly, chiplet-based design leadership, EPYC server processors gaining significant data center share from near-zero, and Instinct AI GPUs now competing as the #2 AI accelerator vendor [1][3]. Each launch opened entirely new revenue streams — Data Center grew from a negligible segment to $6.7B quarterly. AI Deployment (2/2): AMD Instinct MI350 GPUs are shipping at massive scale, directly powering AI training and inference workloads at hyperscale data centers. Q2 2026 Data Center revenue of $6.7B (+107% YoY) represents quantifiable AI-driven revenue, with AMD citing specific deployments at Amazon, Google, Microsoft, and Oracle [1]. Market Share (2/2): AMD has captured meaningful server CPU share from Intel with EPYC, growing from ~1% to an estimated 25%+ of x86 server market. In AI GPUs, AMD is the clear #2 behind NVIDIA with MI350 accelerating adoption [1][2]. Product Pipeline (2/2): AMD's product roadmap is specific and well-disclosed: MI350 Series GPUs shipping now, next-generation architectures on the roadmap, server revenue expected to grow 80%+ in H2 2026, and Data Center sales projected to double in 2027 per CEO Lisa Su [1]. R&amp;D Intensity (1/1): AMD invests heavily in semiconductor R&amp;D across CPU, GPU, FPGA, and custom silicon — R&amp;D spending is above industry average as a percentage of revenue, essential for maintaining competitive architectures against NVIDIA and Intel.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AMD's purpose — 'Together we advance_' — reflects genuine intentionality under Lisa Su's leadership, connecting the company's work to advancing high-performance computing technology for the world's most important challenges [3]. The mission differentiates from peers and has been validated by 12 years of consistent strategic decisions under Su: every major bet (Zen architecture, chiplet design, data center pivot, AI GPUs) traces back to this vision of advancing computing. Su's tenure has proven the purpose through execution, though it lacks the transformative decades-long validation of NVDA's 'accelerate computing' (17 years of CUDA before the AI boom). Community Impact (0/2): No evidence of distinctive community investment, charitable programs, or foundation activity beyond standard corporate social responsibility was identified in research. Employee Retention (1/2): AMD under Lisa Su is widely regarded as a premier semiconductor employer, with the company's transformation from near-bankruptcy to $785B market cap generating strong employee pride and competitive talent attraction [3]. However, specific retention metrics (average tenure, voluntary turnover rates) are not publicly disclosed. Insider Buying (0/2): Lisa Su is a consistent net seller of vested equity awards, which is standard CEO compensation management. No evidence of meaningful discretionary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AMD's financial profile is dominated by exceptional growth metrics: revenue growth of ~40% YoY on a TTM basis ($41.31B), five-year revenue CAGR of 29%, and a Forward PEG of 0.66 — all scoring at the maximum 1.0 [1][4]. D/E of 6% reflects a near-debt-free balance sheet with $8.84B net cash, scoring at maximum [4]. Profit margin of 15.58% scores 0.78 against the 20% target, improving rapidly as Data Center mix shift drives gross margin expansion (Q2 gross margin 54%) [1]. The two drags are Forward P/E of 43.30x (well above 20x target, scoring 0.42) and ROE of 10.20% (below 15% target, scoring 0.68) — the latter depressed by the large Xilinx acquisition goodwill on the balance sheet [4]. Daily dollar volume exceeds $11.5B, providing massive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AMD under Lisa Su is a compelling infinite game player — a company that has fundamentally reinvented itself multiple times in service of advancing computing, survived near-death through disciplined execution, and built a culture of competitive excellence that uses rivals as motivation for self-improvement rather than destruction. Su's 12-year tenure demonstrates the pattern of consistent, purpose-driven leadership that Sinek identifies as the hallmark of infinite game players. The primary limitation is that AMD's purpose is centered on competitive technological excellence rather than a transcendent vision of a better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AMD's purpose — 'Together we advance_' high-performance computing — is genuine and has been validated by Lisa Su's 12-year transformation of the company from near-bankruptcy to $785B market cap [3]. Strategic decisions consistently trace back to this vision: the $35B Xilinx acquisition expanded computing capabilities, EPYC server development when AMD had &lt;1% server share was a decade-long bet on advancing data center computing, and the MI350 AI GPU platform extends the mission into the AI era. The cause survived the most challenging test — Su holding firm on the Zen architecture investment when AMD's survival was uncertain in 2015-2016. However, it doesn't reach the canonical level of Sinek's gold standard because the purpose is more about competitive technological advancement than a transformative vision of a future state.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Lisa Su has built a culture emphasizing clarity, focus, speed, and data-driven decision-making that has attracted and retained top semiconductor engineering talent through a remarkable corporate turnaround [3]. The transformation from near-bankruptcy to $785B market cap required sustained organizational commitment, suggesting meaningful employee buy-in. AMD competes successfully for talent against NVIDIA, Intel, and Qualcomm. However, specific employee retention metrics are not publicly disclosed, and 31,000 employees across global operations include acquired teams (Xilinx, Pensando) where cultural integration may still be ongoing.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AMD exemplifies Sinek's worthy rival concept. Lisa Su consistently acknowledges NVIDIA's strengths as motivation for AMD's improvement rather than framing competition as a war to win. Su has explicitly stated AMD's strategy is about building the best products and open ecosystem rather than beating specific competitors [3]. AMD's approach to NVIDIA — competing on architectural merit and open-source software (ROCm vs CUDA) while acknowledging NVIDIA's ecosystem advantage — reflects competitive self-awareness oriented toward self-improvement. The same dynamic exists with Intel, where AMD has used Intel's dominance as motivation for innovation rather than predatory tactics.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AMD has fundamentally reinvented itself multiple times under Lisa Su. The most transformative pivot was from a struggling consumer PC chipmaker losing market share to Intel into a data center and AI computing powerhouse — a reinvention that required abandoning the low-margin consumer focus, investing billions in server-class architectures (EPYC) when AMD had &lt;1% server market share, and betting on AI GPUs (Instinct) as a new computing paradigm [1][3]. The Xilinx acquisition ($35B) further redefined AMD as a full-stack computing company spanning CPUs, GPUs, FPGAs, and adaptive SoCs. Each pivot was driven by the purpose of advancing computing, not by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Lisa Su demonstrates a pattern of costly long-term bets. She invested heavily in Zen CPU architecture when AMD was nearly bankrupt, choosing multi-year R&amp;D spending over short-term survival optimizations [3]. The decision to develop EPYC server processors when AMD had &lt;1% server share required years of investment with no revenue — a bet that has now yielded $6.7B in quarterly Data Center revenue [1]. The $35B Xilinx acquisition was a transformative capital allocation decision that put AMD's balance sheet at risk to expand long-term computing capabilities. The MI350 AI GPU program required massive R&amp;D investment to compete with NVIDIA's entrenched CUDA ecosystem. Su consistently chooses long-term capability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AMD at 43.30x forward earnings is the premier AI infrastructure investment outside of NVIDIA, delivering accelerating revenue growth with a best-in-class growth-to-valuation ratio (PEG 0.66). Q2 2026 revenue of $11.5B (+50% YoY) with Data Center at $6.7B (+107% YoY) demonstrates the AI GPU and server CPU thesis is executing at scale [1]. The near-debt-free balance sheet (D/E 6%, $8.84B net cash) provides financial flexibility for continued R&amp;D investment and strategic acquisitions [4]. CEO Lisa Su projects Data Center sales will double in 2027, with server revenue up 80%+ in H2 2026, providing clear visibility into sustained hypergrowth [1]. The MI350 GPU platform is gaining enterprise and hyperscaler adoption, while EPYC server CPUs continue gaining share from Intel. The 29% five-year revenue CAGR validates AMD's position as a structural AI growth compounder.</w:t>
      </w:r>
    </w:p>
    <w:p>
      <w:pPr>
        <w:spacing w:after="120"/>
      </w:pPr>
      <w:r>
        <w:rPr>
          <w:rFonts w:ascii="Calibri" w:hAnsi="Calibri"/>
          <w:b w:val="0"/>
          <w:color w:val="3A4A28"/>
          <w:sz w:val="20"/>
        </w:rPr>
        <w:t>The bear case centers on valuation, competitive risk, and cyclicality. Forward P/E of 43.30x prices in substantial sustained growth — any deceleration in AI GPU demand or loss of share to NVIDIA's next-generation Rubin platform could trigger meaningful multiple compression from current levels [1][4]. The trailing PE of 122.75x reflects that current profitability lags the forward expectations significantly, creating risk if the earnings ramp disappoints. ROE of 10.20% is depressed by Xilinx acquisition goodwill, but profit margin of 15.58% trails NVIDIA's 55%+ margins, highlighting AMD's weaker pricing power in AI GPUs. AMD remains the #2 AI GPU vendor behind NVIDIA's entrenched CUDA ecosystem — enterprise customers face switching costs that limit AMD's MI350 adoption rate despite competitive hardware [1]. The Inspire Impact Score of -67 (MISALIGNED) limits allocation for faith-based investors. Semiconductor cyclicality means the current AI investment boom could moderate, and customer concentration in hyperscalers (Amazon, Google, Microsoft) creates revenue volatility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revenue doubling to ~$50B+ annually in 2027 per CEO Lisa Su's guidance, driven by MI350 GPU ramp and continued EPYC server CPU share gains — H2 2026 server revenue expected up 80%+ creating massive earnings leverage [1]</w:t>
      </w:r>
    </w:p>
    <w:p>
      <w:pPr>
        <w:spacing w:before="40" w:after="40"/>
        <w:ind w:left="283"/>
      </w:pPr>
      <w:r>
        <w:rPr>
          <w:rFonts w:ascii="Calibri" w:hAnsi="Calibri"/>
          <w:b/>
          <w:color w:val="4A6B25"/>
          <w:sz w:val="20"/>
        </w:rPr>
        <w:t xml:space="preserve">2. </w:t>
      </w:r>
      <w:r>
        <w:rPr>
          <w:rFonts w:ascii="Calibri" w:hAnsi="Calibri"/>
          <w:b w:val="0"/>
          <w:color w:val="3A4A28"/>
          <w:sz w:val="20"/>
        </w:rPr>
        <w:t>Profit margin expansion from Data Center mix shift (58% of revenue and growing) as AI GPU and server CPU carry higher gross margins than consumer segments, driving ROE improvement from current 10.20% toward semiconductor peer averages [1][4]</w:t>
      </w:r>
    </w:p>
    <w:p>
      <w:pPr>
        <w:spacing w:before="40" w:after="40"/>
        <w:ind w:left="283"/>
      </w:pPr>
      <w:r>
        <w:rPr>
          <w:rFonts w:ascii="Calibri" w:hAnsi="Calibri"/>
          <w:b/>
          <w:color w:val="4A6B25"/>
          <w:sz w:val="20"/>
        </w:rPr>
        <w:t xml:space="preserve">3. </w:t>
      </w:r>
      <w:r>
        <w:rPr>
          <w:rFonts w:ascii="Calibri" w:hAnsi="Calibri"/>
          <w:b w:val="0"/>
          <w:color w:val="3A4A28"/>
          <w:sz w:val="20"/>
        </w:rPr>
        <w:t>Open AI ecosystem strategy (ROCm software, open-source tools) gaining traction as enterprises seek NVIDIA alternatives for AI workloads, potentially accelerating MI350 adoption and reducing CUDA switching costs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NVIDIA competitive dominance with CUDA ecosystem lock-in and next-generation Rubin platform could limit AMD's AI GPU market share gains despite MI350 hardware competitiveness — enterprise switching costs remain high [1]</w:t>
      </w:r>
    </w:p>
    <w:p>
      <w:pPr>
        <w:spacing w:before="40" w:after="40"/>
        <w:ind w:left="283"/>
      </w:pPr>
      <w:r>
        <w:rPr>
          <w:rFonts w:ascii="Calibri" w:hAnsi="Calibri"/>
          <w:b/>
          <w:color w:val="4A6B25"/>
          <w:sz w:val="20"/>
        </w:rPr>
        <w:t xml:space="preserve">2. </w:t>
      </w:r>
      <w:r>
        <w:rPr>
          <w:rFonts w:ascii="Calibri" w:hAnsi="Calibri"/>
          <w:b w:val="0"/>
          <w:color w:val="3A4A28"/>
          <w:sz w:val="20"/>
        </w:rPr>
        <w:t>Forward P/E of 43.30x embeds aggressive earnings growth assumptions — if Data Center growth decelerates from 107% YoY or if AI infrastructure spending moderates due to ROI scrutiny, the valuation could compress 30-40% [4]</w:t>
      </w:r>
    </w:p>
    <w:p>
      <w:pPr>
        <w:spacing w:before="40" w:after="40"/>
        <w:ind w:left="283"/>
      </w:pPr>
      <w:r>
        <w:rPr>
          <w:rFonts w:ascii="Calibri" w:hAnsi="Calibri"/>
          <w:b/>
          <w:color w:val="4A6B25"/>
          <w:sz w:val="20"/>
        </w:rPr>
        <w:t xml:space="preserve">3. </w:t>
      </w:r>
      <w:r>
        <w:rPr>
          <w:rFonts w:ascii="Calibri" w:hAnsi="Calibri"/>
          <w:b w:val="0"/>
          <w:color w:val="3A4A28"/>
          <w:sz w:val="20"/>
        </w:rPr>
        <w:t>Semiconductor cyclicality risk as AI infrastructure capex from hyperscalers (representing the majority of Data Center revenue) could moderate if AI monetization timelines extend, creating demand air pockets similar to the 2022-2023 PC downturn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 IMMUNE): AMD IS AI infrastructure. The company designs the GPUs (Instinct MI350) and CPUs (EPYC) that physically power AI training, inference, and data center workloads. AI cannot disrupt a company that builds the hardware AI runs on — every expansion of AI adoption directly increases demand for AMD's products [1]. Data Center revenue of $6.7B in Q2 2026 (+107% YoY) demonstrates this structural alignment. AMD's proprietary semiconductor designs, TSMC fabrication partnerships, and custom silicon capabilities (Xilinx FPGAs, Pensando DPUs) create deep engineering moats that AI software cannot replicate. No analyst has flagged AI disruption risk for AMD; the consensus view is that AI is the primary growth driver for the foreseeable future. AI Opportunity (1/1): AMD generates massive quantifiable AI revenue — Data Center segment at $6.7B quarterly is predominantly AI-driven, representing 58% of total company revenue [1]. The MI350 GPU platform, EPYC server CPUs optimized for AI workloads, and custom AI silicon create a diversified AI revenue portfolio. CEO Lisa Su projects Data Center sales will double in 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AMD Q2 2026 Earnings Release — Record Revenue $11.5B (+50% YoY), Data Center $6.7B (+107%), Gross Margin 54%, EPS $1.38, CEO Guidance: Data Center to Double in 2027, Server Revenue +80% H2 2026, August 2026</w:t>
      </w:r>
    </w:p>
    <w:p>
      <w:pPr>
        <w:spacing w:before="20" w:after="20"/>
        <w:ind w:left="170"/>
      </w:pPr>
      <w:r>
        <w:rPr>
          <w:rFonts w:ascii="Calibri" w:hAnsi="Calibri"/>
          <w:b/>
          <w:color w:val="4A6B25"/>
          <w:sz w:val="15"/>
        </w:rPr>
        <w:t xml:space="preserve">2. </w:t>
      </w:r>
      <w:r>
        <w:rPr>
          <w:rFonts w:ascii="Calibri" w:hAnsi="Calibri"/>
          <w:b w:val="0"/>
          <w:color w:val="3A4A28"/>
          <w:sz w:val="17"/>
        </w:rPr>
        <w:t>AMD Q1 2026 Earnings Release — Revenue $10.3B (+38% YoY), Data Center $5.8B (+57%), EPS $0.84, Stock Surged 16% Post-Earnings, CNBC /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Lisa Su Leadership Profile — CEO of the Year, AMD Renaissance from &lt;$2B to $785B Market Cap, Open AI Ecosystem Strategy, Chief Executive Magazine / Andreessen Horowitz,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AMD Key Statistics: Forward PE 43.30, PEG 0.66, D/E 0.06, ROE 10.20%, Profit Margin 15.58%, Net Cash $8.84B, Stock Price $480.93, 52-Week Change +194%,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