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AMH</w:t>
      </w:r>
      <w:r>
        <w:rPr>
          <w:rFonts w:ascii="Calibri" w:hAnsi="Calibri"/>
          <w:b/>
          <w:color w:val="1A2010"/>
          <w:sz w:val="40"/>
        </w:rPr>
        <w:t xml:space="preserve">  American Homes 4 Rent</w:t>
      </w:r>
    </w:p>
    <w:p>
      <w:pPr>
        <w:spacing w:after="120"/>
      </w:pPr>
      <w:r>
        <w:rPr>
          <w:rFonts w:ascii="Calibri" w:hAnsi="Calibri"/>
          <w:b/>
          <w:color w:val="6E8450"/>
          <w:sz w:val="18"/>
        </w:rPr>
        <w:t>DIVIDEND SLEEVE · 2026-08-27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Residential · NYSE · United States</w:t>
      </w:r>
    </w:p>
    <w:p>
      <w:pPr>
        <w:spacing w:after="80"/>
      </w:pPr>
      <w:r>
        <w:rPr>
          <w:rFonts w:ascii="Calibri" w:hAnsi="Calibri"/>
          <w:b w:val="0"/>
          <w:color w:val="3A4A28"/>
          <w:sz w:val="20"/>
        </w:rPr>
        <w:t>American Homes 4 Rent is one of the largest single-family rental REITs in the United States, owning and operating more than 54,000 homes across 22 states and 40 markets. The company both acquires existing properties and develops new build-to-rent communities through its AMH Development program. Q2 2026 revenue was $470.1M (+2.8% YoY) with same-home occupancy of 96.0%, core FFO per share of $0.48 (+5.2% YoY), and adjusted FFO per share growth of 8.3%. The company raised its full-year 2026 core FFO guidance midpoint by $0.03 to $1.95 per share.</w:t>
      </w:r>
    </w:p>
    <w:p>
      <w:r>
        <w:rPr>
          <w:rFonts w:ascii="Calibri" w:hAnsi="Calibri"/>
          <w:b/>
          <w:color w:val="6E8450"/>
          <w:sz w:val="18"/>
        </w:rPr>
        <w:t>1,598 Employees · https://www.amh.com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AMH has made one meaningful business model evolution over the past five years — expanding from a pure property acquisition model to include the AMH Development build-to-rent program, which allows the company to construct purpose-built rental communities [1]. This opened a new growth channel but is an incremental extension of the core rental business rather than a transformative pivot. AI Deployment (0/2): No evidence of AI-powered products or quantifiable AI-driven cost savings. AMH's operations remain traditional property management without material AI integration. Market Share (1/2): AMH operates one of the two largest single-family rental portfolios in the U.S. (54,000+ homes), alongside Invitation Homes. The company is a meaningful player in a rapidly growing housing segment, but the overall SFR market remains highly fragmented with institutional owners controlling a small percentage of total single-family rental inventory [1]. Product Pipeline (0/2): No specific next-generation products or services with named launch dates. Growth is driven by incremental development pipeline and property acquisitions rather than discrete product innovation. R&amp;D Intensity (0/1): As a REIT, AMH does not invest meaningfully in research and development. Capital expenditure is directed toward property acquisition, development, and maintenance.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AMH's purpose centers on providing quality single-family rental housing to American families. This is a clear and socially relevant mission — housing is a fundamental need — but it is not distinctive among residential REITs. Invitation Homes, Tricon Residential, and numerous other SFR operators articulate nearly identical missions. The purpose does not inspire beyond the obvious business proposition [1]. Community Impact (0/2): While AMH publishes sustainability reports and has discussed environmental initiatives in new construction, the company faced criticism from activist investor Land &amp; Buildings in 2022 for lagging on solar adoption and environmental home standards, suggesting community/environmental programs are reactive rather than proactive [3]. Employee Retention (0/2): Glassdoor reviews are mixed with the executive team rated in the bottom 35% of similarly-sized companies on Comparably. Employee feedback describes a 'fast-paced' environment but with concerns about leadership direction. With 1,598 employees, retention data is limited. Insider Buying (0/2): No evidence of meaningful net insider buying by executives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AMH's strongest attributes are its conservative balance sheet with D/E of 69% (just below the 70% target, scoring 1.0), profit margin of 25.53% (above the 20% target, scoring 1.0), and robust dividend track record with 12 consecutive years paid and approximately 15% five-year dividend growth CAGR — both scoring at maximum with 2x weighting [4]. The key drags are the elevated payout ratio of 104.21% based on GAAP earnings (exceeding the 100% floor for a score of 0.0), which is characteristic of REITs where GAAP depreciation depresses reported earnings below actual cash flow [1]. Forward P/E of 46.03x is a significant drag (scoring 0.35), though this is similarly inflated by REIT GAAP reporting conventions. ROE of 7.08% is below the 15% target (scoring 0.47), typical for asset-heavy REITs. Revenue growth of 2.8% YoY and 5.8% five-year CAGR are below the 10% target but above floors [1][4]. Daily dollar volume exceeds $71M, easily clearing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AMH operates as a competent but finite-minded REIT focused on financial optimization and portfolio growth rather than a transformative vision for the future of housing. Founded in 2012 by billionaire B. Wayne Hughes (who passed away in 2022) to capitalize on the post-financial-crisis housing opportunity, the company's DNA is financial engineering and real estate arbitrage rather than purpose-driven housing innovation. CEO David Singelyn manages efficiently but without the visionary leadership or cultural distinctiveness that characterizes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AMH's stated purpose around providing quality rental housing exists but reads as a business description rather than a Just Cause in Sinek's framework. The company was founded explicitly to exploit the post-2008 housing arbitrage opportunity — buying foreclosed homes at distressed prices and renting them — which is a finite, opportunistic origin [1]. While the mission of housing provision serves a genuine social need, it is not articulated as a vision of a future state so appealing that people sacrifice to advance it. Strategic decisions are driven by financial returns (cap rates, NOI growth, development yields) rather than a deeper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suggests a below-average organizational trust environment. The executive team is rated in the bottom 35% of similarly-sized companies on Comparably. Glassdoor reviews describe mixed experiences with leadership, including concerns about direction and communication. With only 1,598 employees managing 54,000+ homes, the operational model relies heavily on contracted labor and property-level staff who may have limited connection to the corporate mission [1]. The founder's passing in 2022 removed the founding figure without evidence of a robust cultural successor.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AMH frames its competitive relationship with Invitation Homes (the primary SFR REIT peer) in terms of learning and self-improvement. Industry commentary focuses on market share, portfolio size comparisons, and same-store NOI growth metrics — finite competitive framing focused on measurable superiority rather than mutual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AMH has evolved from a pure property acquisition model to include the AMH Development build-to-rent program, representing meaningful strategic evolution. The shift to developing purpose-built rental communities rather than only acquiring existing homes is a significant operational capability expansion that adapts the business model to changing market conditions (limited distressed housing inventory, higher acquisition costs) [1]. However, this is incremental evolution within the same industry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AMH's expansion into the capital-intensive build-to-rent development program represents a meaningful long-term investment that temporarily compresses returns to build future capabilities. The company has continued investing in development during periods of rising construction costs and interest rates, demonstrating willingness to sacrifice near-term margins for long-term portfolio quality [1]. The raised FY2026 FFO guidance suggests this investment is beginning to pay off. However, no evidence of truly costly strategic decisions that sacrificed significant short-term performance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AMH offers stable, inflation-protected income with a 3.86% dividend yield backed by 54,000+ physical homes across 22 states with 96.0% occupancy [1]. The single-family rental market benefits from structural tailwinds: elevated mortgage rates making homeownership unaffordable for millions of families, millennial family formation driving demand for suburban rental homes, and limited new single-family housing supply. Core FFO per share grew 5.2% in Q2 2026 with management raising full-year guidance to $1.95 midpoint, demonstrating steady operational execution [1]. The build-to-rent development program creates higher-quality, lower-maintenance homes at attractive yields. The Inspire Impact Score of 54 (ALIGNED) with zero negative attributions makes AMH suitable for faith-based income portfolios. Conservative D/E of 69% provides balance sheet safety.</w:t>
      </w:r>
    </w:p>
    <w:p>
      <w:pPr>
        <w:spacing w:after="120"/>
      </w:pPr>
      <w:r>
        <w:rPr>
          <w:rFonts w:ascii="Calibri" w:hAnsi="Calibri"/>
          <w:b w:val="0"/>
          <w:color w:val="3A4A28"/>
          <w:sz w:val="20"/>
        </w:rPr>
        <w:t>The bear case centers on growth deceleration, REIT-specific valuation challenges, and governance concerns. Revenue growth of only 2.8% YoY and same-home rent growth decelerating suggest AMH is maturing — the explosive post-pandemic growth in SFR demand has normalized [1]. Forward P/E of 46.03x (GAAP) appears expensive though this metric is distorted by REIT depreciation — the more relevant FFO multiple is approximately 17.5x, which is fair but not cheap for a low-growth REIT. The GAAP payout ratio of 104.21% exceeds 100%, though on an FFO basis the payout is sustainable at roughly 68% of core FFO [1]. Blended lease spreads of 2.8% barely exceed inflation, limiting organic growth. The activist criticism from Land &amp; Buildings (2022) highlighted governance and ESG weaknesses, and the executive team's bottom-35% Comparably rating suggests leadership quality concerns [3]. Rising property insurance costs and maintenance expenses in aging Sun Belt markets could compress margins. PEG of 12.37 implies investors are paying a steep premium for modest FFO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Build-to-rent development program delivering higher-quality homes at attractive yields (6-7% stabilized yields vs 4-5% acquisition cap rates), creating a pipeline of premium rental communities that could accelerate FFO growth beyond the current 5% trajectory [1]</w:t>
      </w:r>
    </w:p>
    <w:p>
      <w:pPr>
        <w:spacing w:before="40" w:after="40"/>
        <w:ind w:left="283"/>
      </w:pPr>
      <w:r>
        <w:rPr>
          <w:rFonts w:ascii="Calibri" w:hAnsi="Calibri"/>
          <w:b/>
          <w:color w:val="4A6B25"/>
          <w:sz w:val="20"/>
        </w:rPr>
        <w:t xml:space="preserve">2. </w:t>
      </w:r>
      <w:r>
        <w:rPr>
          <w:rFonts w:ascii="Calibri" w:hAnsi="Calibri"/>
          <w:b w:val="0"/>
          <w:color w:val="3A4A28"/>
          <w:sz w:val="20"/>
        </w:rPr>
        <w:t>Mortgage rate persistence above 6% extending the housing affordability crisis, driving continued demand for single-family rentals from families who would traditionally be homebuyers — each year of elevated rates expands the addressable tenant pool [1]</w:t>
      </w:r>
    </w:p>
    <w:p>
      <w:pPr>
        <w:spacing w:before="40" w:after="40"/>
        <w:ind w:left="283"/>
      </w:pPr>
      <w:r>
        <w:rPr>
          <w:rFonts w:ascii="Calibri" w:hAnsi="Calibri"/>
          <w:b/>
          <w:color w:val="4A6B25"/>
          <w:sz w:val="20"/>
        </w:rPr>
        <w:t xml:space="preserve">3. </w:t>
      </w:r>
      <w:r>
        <w:rPr>
          <w:rFonts w:ascii="Calibri" w:hAnsi="Calibri"/>
          <w:b w:val="0"/>
          <w:color w:val="3A4A28"/>
          <w:sz w:val="20"/>
        </w:rPr>
        <w:t>Full-year 2026 core FFO guidance raised to $1.95/share midpoint (+4.3% YoY), with potential for further upside if blended lease spreads accelerate from the July preliminary 2.8% level as seasonal demand peaks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to 2.8% YoY with blended lease spreads barely above inflation suggests the post-pandemic SFR boom has normalized, and AMH may struggle to grow faster than 3-5% annually without acquisitions or accelerated development spending [1]</w:t>
      </w:r>
    </w:p>
    <w:p>
      <w:pPr>
        <w:spacing w:before="40" w:after="40"/>
        <w:ind w:left="283"/>
      </w:pPr>
      <w:r>
        <w:rPr>
          <w:rFonts w:ascii="Calibri" w:hAnsi="Calibri"/>
          <w:b/>
          <w:color w:val="4A6B25"/>
          <w:sz w:val="20"/>
        </w:rPr>
        <w:t xml:space="preserve">2. </w:t>
      </w:r>
      <w:r>
        <w:rPr>
          <w:rFonts w:ascii="Calibri" w:hAnsi="Calibri"/>
          <w:b w:val="0"/>
          <w:color w:val="3A4A28"/>
          <w:sz w:val="20"/>
        </w:rPr>
        <w:t>Governance and leadership concerns — executive team rated in bottom 35% of peers on Comparably, activist criticism of ESG oversight, and the passing of founder B. Wayne Hughes in 2022 removing the founding visionary without evidence of cultural succession [3]</w:t>
      </w:r>
    </w:p>
    <w:p>
      <w:pPr>
        <w:spacing w:before="40" w:after="40"/>
        <w:ind w:left="283"/>
      </w:pPr>
      <w:r>
        <w:rPr>
          <w:rFonts w:ascii="Calibri" w:hAnsi="Calibri"/>
          <w:b/>
          <w:color w:val="4A6B25"/>
          <w:sz w:val="20"/>
        </w:rPr>
        <w:t xml:space="preserve">3. </w:t>
      </w:r>
      <w:r>
        <w:rPr>
          <w:rFonts w:ascii="Calibri" w:hAnsi="Calibri"/>
          <w:b w:val="0"/>
          <w:color w:val="3A4A28"/>
          <w:sz w:val="20"/>
        </w:rPr>
        <w:t>Rising property insurance and maintenance costs in Sun Belt markets (Florida, Texas, Arizona — AMH's largest geographies) could compress NOI margins, particularly as climate-related risks increase frequency and severity of weather events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AMH's core business — owning, operating, and renting physical single-family homes — is structurally immune to AI disruption. AI cannot replace physical housing, and the business involves deeply tangible operations: property acquisition, construction, maintenance, tenant management, and real estate portfolio management across 54,000+ homes in 22 states [1]. Regulatory requirements (local housing codes, zoning, tenant protections) and physical infrastructure create structural barriers that software cannot displace. AI may increase demand for single-family rentals as remote work enabled by AI tools allows more geographically flexible housing choices. Analysts have not flagged AI as a disruption risk for residential REITs. AI Opportunity (0/1): AMH does not generate revenue from AI products or services. The company may deploy AI for property management efficiency (maintenance scheduling, pricing optimization) over time, but no quantifiable AI revenue or specific AI-driven savings have been reported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Homes 4 Rent Q2 2026 Earnings — Revenue $470.1M (+2.8% YoY), Core FFO $0.48/share (+5.2%), AFFO +8.3%, Occupancy 96.0%, Blended Lease Spreads 2.8%, Raised FY2026 Core FFO Guidance to $1.95 Midpoint, August 2026</w:t>
      </w:r>
    </w:p>
    <w:p>
      <w:pPr>
        <w:spacing w:before="20" w:after="20"/>
        <w:ind w:left="170"/>
      </w:pPr>
      <w:r>
        <w:rPr>
          <w:rFonts w:ascii="Calibri" w:hAnsi="Calibri"/>
          <w:b/>
          <w:color w:val="4A6B25"/>
          <w:sz w:val="15"/>
        </w:rPr>
        <w:t xml:space="preserve">2. </w:t>
      </w:r>
      <w:r>
        <w:rPr>
          <w:rFonts w:ascii="Calibri" w:hAnsi="Calibri"/>
          <w:b w:val="0"/>
          <w:color w:val="3A4A28"/>
          <w:sz w:val="17"/>
        </w:rPr>
        <w:t>American Homes 4 Rent Q1 2026 Earnings — Revenue $472.0M (+2.8% YoY), Core FFO $0.48/share (+4.6%), Portfolio 54,000+ Homes, 40 Markets, 22 States, May 2026</w:t>
      </w:r>
    </w:p>
    <w:p>
      <w:pPr>
        <w:spacing w:before="20" w:after="20"/>
        <w:ind w:left="170"/>
      </w:pPr>
      <w:r>
        <w:rPr>
          <w:rFonts w:ascii="Calibri" w:hAnsi="Calibri"/>
          <w:b/>
          <w:color w:val="4A6B25"/>
          <w:sz w:val="15"/>
        </w:rPr>
        <w:t xml:space="preserve">3. </w:t>
      </w:r>
      <w:r>
        <w:rPr>
          <w:rFonts w:ascii="Calibri" w:hAnsi="Calibri"/>
          <w:b w:val="0"/>
          <w:color w:val="3A4A28"/>
          <w:sz w:val="17"/>
        </w:rPr>
        <w:t>Land &amp; Buildings Investment Management Open Letter — ESG Governance Criticism, Solar Adoption Lagging, Environmental Home Standards, Board Vote Recommendations, April 2022; Comparably Executive Team Rating Bottom 35%</w:t>
      </w:r>
    </w:p>
    <w:p>
      <w:pPr>
        <w:spacing w:before="20" w:after="20"/>
        <w:ind w:left="170"/>
      </w:pPr>
      <w:r>
        <w:rPr>
          <w:rFonts w:ascii="Calibri" w:hAnsi="Calibri"/>
          <w:b/>
          <w:color w:val="4A6B25"/>
          <w:sz w:val="15"/>
        </w:rPr>
        <w:t xml:space="preserve">4. </w:t>
      </w:r>
      <w:r>
        <w:rPr>
          <w:rFonts w:ascii="Calibri" w:hAnsi="Calibri"/>
          <w:b w:val="0"/>
          <w:color w:val="3A4A28"/>
          <w:sz w:val="17"/>
        </w:rPr>
        <w:t>StockAnalysis — AMH Key Statistics: Forward PE 46.03, PEG 12.37, D/E 0.69, ROE 7.08%, Profit Margin 25.53%, Dividend Yield 3.86%, Payout Ratio 104.21%, Stock Price $34.16,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