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AMIX</w:t>
      </w:r>
      <w:r>
        <w:rPr>
          <w:rFonts w:ascii="Calibri" w:hAnsi="Calibri"/>
          <w:b/>
          <w:color w:val="1A2010"/>
          <w:sz w:val="40"/>
        </w:rPr>
        <w:t xml:space="preserve">  Autonomix Medical, Inc.</w:t>
      </w:r>
    </w:p>
    <w:p>
      <w:pPr>
        <w:spacing w:after="120"/>
      </w:pPr>
      <w:r>
        <w:rPr>
          <w:rFonts w:ascii="Calibri" w:hAnsi="Calibri"/>
          <w:b/>
          <w:color w:val="6E8450"/>
          <w:sz w:val="18"/>
        </w:rPr>
        <w:t>GROWTH SLEEVE · 2026-09-02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United States</w:t>
      </w:r>
    </w:p>
    <w:p>
      <w:pPr>
        <w:spacing w:after="80"/>
      </w:pPr>
      <w:r>
        <w:rPr>
          <w:rFonts w:ascii="Calibri" w:hAnsi="Calibri"/>
          <w:b w:val="0"/>
          <w:color w:val="3A4A28"/>
          <w:sz w:val="20"/>
        </w:rPr>
        <w:t>Autonomix Medical, Inc. is a development-stage medical device company focused on advancing technologies for sensing and treating disorders of the peripheral nervous system. Its technology platform features a catheter-based microchip-enabled sensing array with approximately 3,000 times greater sensitivity than currently available technologies, combined with RF ablation capability for a 'sense, treat, verify' approach. The company is pursuing clinical trials for pancreatic cancer pain and broader visceral cancer applications. Incorporated in 2014, headquartered in The Woodlands, Texas. The company executed a 1-for-21 reverse stock split on June 24, 2026 to maintain NASDAQ listing compliance [1]. In August 2026, Autonomix received a Canadian patent grant (No. 3,158,197) strengthening its global IP portfolio for nerve-targeted therapies [3].</w:t>
      </w:r>
    </w:p>
    <w:p>
      <w:r>
        <w:rPr>
          <w:rFonts w:ascii="Calibri" w:hAnsi="Calibri"/>
          <w:b/>
          <w:color w:val="6E8450"/>
          <w:sz w:val="18"/>
        </w:rPr>
        <w:t>25 Employees · https://www.autonomix.com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Autonomix completed integration of the FDA-cleared Apex 6 Generator for transvascular ablation and was selected for the Best Innovation Competition at CRT 2026, demonstrating incremental progress on its neural sensing platform [2]. The Canadian patent grant (No. 3,158,197) for endoscopic sympathectomy systems in August 2026 strengthens IP [3]. However, no products have reached commercial launch in the company's 12-year history and revenue remains zero. AI Deployment (0/2): No AI products or AI-driven operational efficiencies reported. Market Share (0/2): Pre-revenue company with zero commercial products and no market share. Product Pipeline (1/2): Defined clinical pipeline targeting pancreatic cancer pain with proof-of-concept trials underway, IDE submission planned for U.S. pivotal trial, and Ethics Committee authorization in Uzbekistan for expanded PoC 2 covering broader visceral cancers [2]. However, no specific launch dates with revenue visibility exist. R&amp;D Intensity (1/1): Virtually all operating expenditure ($17M in FY2026) goes toward R&amp;D and clinical development, far exceeding industry average as a percentage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Autonomix's purpose — to 'revolutionize how diseases involving the nervous system are diagnosed and treated' — is clear and identifies a specific unmet medical need, but it is not distinctive among medical device startups and does not articulate a deeper transformative vision beyond the obvious clinical application [2]. Community Impact (0/2): No evidence of charitable programs, foundation activity, or community investment beyond its clinical mission. Employee Retention (0/2): With approximately 25 employees in a development-stage company, no publicly available data on retention or tenure exists. Insider Buying (0/2): No notable net insider buying by CEO Brad Hauser or other executives identified in the last 12 months; the 308% share count increase in FY2026 reflects dilutive fundraising rather than insider conviction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Post-reverse-split average daily volume of approximately 155,000 shares at $3.65 per share yields daily dollar volume of approximately $566,000, well below the $1,000,000 minimum required by IOWN's liquidity floor [4]. Infrastructure score is automatically set to 0 regardless of other metrics. The underlying financials confirm fundamental weakness: zero revenue in both FY2025 and FY2026, net loss widening from $11.4M to $16.7M, EPS of -$2.32, accumulated deficit of $67.1M against total stockholders' equity of just $5.9M, and the 1-for-21 reverse stock split on June 24, 2026 to maintain NASDAQ listing compliance [1][4]. Cash of $9.93M with no debt provides limited runway against the annual burn rate. The stock has declined approximately 85% over 52 weeks.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Autonomix Medical shows minimal evidence of infinite game thinking. The company has a clinical purpose but lacks the organizational maturity, leadership track record, or strategic history to demonstrate the enduring commitment that Sinek values. As a pre-revenue development-stage company with going concern risk, a 1-for-21 reverse stock split, and significant dilution, the primary orientation is survival — securing enough capital to reach the next clinical milestone — rather than playing to keep playing.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Autonomix has a cause — treating nervous system disorders through novel catheter-based technology — but it reads as a standard medical device startup mission rather than a Just Cause in Sinek's sense [2]. The purpose has not been tested through crisis, leadership transition, or multi-decade consistency. CEO Brad Hauser has expanded the vision beyond pancreatic cancer to cardiovascular, pulmonary, and chronic pain applications, but the cause is not yet validated by execution.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approximately 25 employees and no public data on culture, retention, or employee sentiment, there is insufficient evidence to evaluate trust within the organization. The company's going concern risk and massive share dilution (308% increase in FY2026) create inherent organizational instability [1].</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competitive awareness or rival acknowledgment in public communications. The company operates in a niche space with limited direct competitors in catheter-based neural sensing, making the worthy rival framework difficult to apply.</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Autonomix is too young and too early-stage to have faced the kind of strategic pivot that Sinek values. The company has been pursuing the same catheter-based neural sensing technology since inception with no evidence of transformative flexibility.</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beyond the inherent risk of running a pre-revenue medical device company. CEO Brad Hauser has expanded the target indications and strengthened IP (Canadian patent grant in August 2026), but these are standard operational steps rather than courageous strategic decisions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Autonomix Medical's catheter-based neural sensing and ablation platform addresses a genuine unmet medical need in pancreatic cancer pain management, a condition with limited effective treatments. The 'sense, treat, verify' approach using microchip-enabled sensing arrays with approximately 3,000x greater sensitivity than existing technologies is differentiated and was recognized at CRT 2026's Best Innovation Competition [2]. The August 2026 Canadian patent grant (No. 3,158,197) strengthens the company's global IP portfolio [3]. CEO Brad Hauser is expanding the platform beyond pancreatic cancer into cardiovascular, pulmonary, and chronic pain applications, broadening the addressable market. If the U.S. pivotal trial succeeds and FDA approval is obtained, the addressable market could be significant.</w:t>
      </w:r>
    </w:p>
    <w:p>
      <w:pPr>
        <w:spacing w:after="120"/>
      </w:pPr>
      <w:r>
        <w:rPr>
          <w:rFonts w:ascii="Calibri" w:hAnsi="Calibri"/>
          <w:b w:val="0"/>
          <w:color w:val="3A4A28"/>
          <w:sz w:val="20"/>
        </w:rPr>
        <w:t>However, the investment case is extremely speculative with existential risk. The company has generated zero revenue in its 12-year history, with net losses widening from $11.4M to $16.7M in FY2026 and an accumulated deficit of $67.1M [1]. The 1-for-21 reverse stock split in June 2026 signals NASDAQ compliance risk, and the 10-K notes going concern doubts. With cash of $9.93M and an annual burn rate of approximately $12-17M, the company faces existential funding risk within 6-12 months and will require dilutive equity financing to continue operations [1]. The stock has declined approximately 85% over 52 weeks, and post-reverse-split daily dollar volume of approximately $566K falls well below the IOWN $1M liquidity floor, making the stock effectively untradable for institutional portfolios [4]. The 308% share dilution in FY2026 demonstrates the punishing cost of equity capital for pre-revenue device companies. The Inspire Impact Score of 0 (MIXED) provides no differentiation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IDE submission and FDA approval to initiate U.S. pivotal trial for pancreatic cancer pain, which would de-risk the regulatory pathway and attract institutional interest [2]</w:t>
      </w:r>
    </w:p>
    <w:p>
      <w:pPr>
        <w:spacing w:before="40" w:after="40"/>
        <w:ind w:left="283"/>
      </w:pPr>
      <w:r>
        <w:rPr>
          <w:rFonts w:ascii="Calibri" w:hAnsi="Calibri"/>
          <w:b/>
          <w:color w:val="4A6B25"/>
          <w:sz w:val="20"/>
        </w:rPr>
        <w:t xml:space="preserve">2. </w:t>
      </w:r>
      <w:r>
        <w:rPr>
          <w:rFonts w:ascii="Calibri" w:hAnsi="Calibri"/>
          <w:b w:val="0"/>
          <w:color w:val="3A4A28"/>
          <w:sz w:val="20"/>
        </w:rPr>
        <w:t>Positive topline data from PoC 2 clinical trial in Uzbekistan covering broader visceral cancers, potentially expanding the addressable market beyond pancreatic pain [2]</w:t>
      </w:r>
    </w:p>
    <w:p>
      <w:pPr>
        <w:spacing w:before="40" w:after="40"/>
        <w:ind w:left="283"/>
      </w:pPr>
      <w:r>
        <w:rPr>
          <w:rFonts w:ascii="Calibri" w:hAnsi="Calibri"/>
          <w:b/>
          <w:color w:val="4A6B25"/>
          <w:sz w:val="20"/>
        </w:rPr>
        <w:t xml:space="preserve">3. </w:t>
      </w:r>
      <w:r>
        <w:rPr>
          <w:rFonts w:ascii="Calibri" w:hAnsi="Calibri"/>
          <w:b w:val="0"/>
          <w:color w:val="3A4A28"/>
          <w:sz w:val="20"/>
        </w:rPr>
        <w:t>Strategic partnership or licensing deal with a larger medical device company that would provide capital, commercial infrastructure, and validation of the technology platform — the strengthening IP portfolio (Canadian patent grant August 2026) makes this increasingly plausible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Going concern risk with only $9.93M cash against $12-17M annual burn rate — the company will need additional dilutive equity financing within 6-12 months to continue operations, and the 308% dilution in FY2026 shows the punishing terms of capital raises [1]</w:t>
      </w:r>
    </w:p>
    <w:p>
      <w:pPr>
        <w:spacing w:before="40" w:after="40"/>
        <w:ind w:left="283"/>
      </w:pPr>
      <w:r>
        <w:rPr>
          <w:rFonts w:ascii="Calibri" w:hAnsi="Calibri"/>
          <w:b/>
          <w:color w:val="4A6B25"/>
          <w:sz w:val="20"/>
        </w:rPr>
        <w:t xml:space="preserve">2. </w:t>
      </w:r>
      <w:r>
        <w:rPr>
          <w:rFonts w:ascii="Calibri" w:hAnsi="Calibri"/>
          <w:b w:val="0"/>
          <w:color w:val="3A4A28"/>
          <w:sz w:val="20"/>
        </w:rPr>
        <w:t>Clinical trial failure or FDA rejection of the IDE application would effectively eliminate the company's only viable product pathway and likely trigger delisting [2]</w:t>
      </w:r>
    </w:p>
    <w:p>
      <w:pPr>
        <w:spacing w:before="40" w:after="40"/>
        <w:ind w:left="283"/>
      </w:pPr>
      <w:r>
        <w:rPr>
          <w:rFonts w:ascii="Calibri" w:hAnsi="Calibri"/>
          <w:b/>
          <w:color w:val="4A6B25"/>
          <w:sz w:val="20"/>
        </w:rPr>
        <w:t xml:space="preserve">3. </w:t>
      </w:r>
      <w:r>
        <w:rPr>
          <w:rFonts w:ascii="Calibri" w:hAnsi="Calibri"/>
          <w:b w:val="0"/>
          <w:color w:val="3A4A28"/>
          <w:sz w:val="20"/>
        </w:rPr>
        <w:t>Post-reverse-split daily dollar volume of approximately $566K makes the stock untradeable for institutional investors, with the 1-for-21 reverse split and 85% stock decline signaling severe capital markets distress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Autonomix's core business — catheter-based neural sensing and RF ablation devices — involves physical medical hardware that requires FDA regulatory approval, sterile manufacturing, and hands-on clinical deployment by physicians [2]. AI cannot substitute for the physical catheter, the microchip sensing array, or the ablation procedure itself. The regulatory pathway (IDE submission, clinical trials, PMA approval) creates structural barriers that AI tools cannot bypass. However, the company is so early-stage that its competitive position is unproven, and AI-assisted diagnostics could potentially reduce demand for invasive neural sensing if non-invasive alternatives emerge. AI Opportunity (0/1): No AI-powered products or AI-generated revenue. The company's neural sensing technology uses microchip arrays, not AI algorithms, for signal detection.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Autonomix Medical FY2026 10-K Annual Report — Revenue $0, Net Loss $16.7M, EPS -$2.32, Cash $9.93M, 1-for-21 reverse stock split June 24, 2026, SEC Filing</w:t>
      </w:r>
    </w:p>
    <w:p>
      <w:pPr>
        <w:spacing w:before="20" w:after="20"/>
        <w:ind w:left="170"/>
      </w:pPr>
      <w:r>
        <w:rPr>
          <w:rFonts w:ascii="Calibri" w:hAnsi="Calibri"/>
          <w:b/>
          <w:color w:val="4A6B25"/>
          <w:sz w:val="15"/>
        </w:rPr>
        <w:t xml:space="preserve">2. </w:t>
      </w:r>
      <w:r>
        <w:rPr>
          <w:rFonts w:ascii="Calibri" w:hAnsi="Calibri"/>
          <w:b w:val="0"/>
          <w:color w:val="3A4A28"/>
          <w:sz w:val="17"/>
        </w:rPr>
        <w:t>Autonomix Medical CRT 2026 Presentation, Clinical Trial Updates, CEO Brad Hauser strategic expansion — GlobeNewsWire and BioSpace, 2025-2026</w:t>
      </w:r>
    </w:p>
    <w:p>
      <w:pPr>
        <w:spacing w:before="20" w:after="20"/>
        <w:ind w:left="170"/>
      </w:pPr>
      <w:r>
        <w:rPr>
          <w:rFonts w:ascii="Calibri" w:hAnsi="Calibri"/>
          <w:b/>
          <w:color w:val="4A6B25"/>
          <w:sz w:val="15"/>
        </w:rPr>
        <w:t xml:space="preserve">3. </w:t>
      </w:r>
      <w:r>
        <w:rPr>
          <w:rFonts w:ascii="Calibri" w:hAnsi="Calibri"/>
          <w:b w:val="0"/>
          <w:color w:val="3A4A28"/>
          <w:sz w:val="17"/>
        </w:rPr>
        <w:t>Autonomix Medical Canadian Patent Grant No. 3,158,197 — Endoscopic Sympathectomy Systems and Methods, strengthening global IP portfolio, August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Morningstar, Yahoo Finance — AMIX Key Statistics: Stock Price $3.65, Avg Volume ~155K post-split, 11.4M shares outstanding,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