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AMSC</w:t>
      </w:r>
      <w:r>
        <w:rPr>
          <w:rFonts w:ascii="Calibri" w:hAnsi="Calibri"/>
          <w:b/>
          <w:color w:val="1A2010"/>
          <w:sz w:val="40"/>
        </w:rPr>
        <w:t xml:space="preserve">  American Superconductor Corporation</w:t>
      </w:r>
    </w:p>
    <w:p>
      <w:pPr>
        <w:spacing w:after="120"/>
      </w:pPr>
      <w:r>
        <w:rPr>
          <w:rFonts w:ascii="Calibri" w:hAnsi="Calibri"/>
          <w:b/>
          <w:color w:val="6E8450"/>
          <w:sz w:val="18"/>
        </w:rPr>
        <w:t>GROWTH SLEEVE · 2026-09-29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NASDAQ · United States</w:t>
      </w:r>
    </w:p>
    <w:p>
      <w:pPr>
        <w:spacing w:after="80"/>
      </w:pPr>
      <w:r>
        <w:rPr>
          <w:rFonts w:ascii="Calibri" w:hAnsi="Calibri"/>
          <w:b w:val="0"/>
          <w:color w:val="3A4A28"/>
          <w:sz w:val="20"/>
        </w:rPr>
        <w:t>American Superconductor Corporation (AMSC) is a power technology company providing grid solutions, wind turbine electrical systems, and superconductor-based products to utilities, renewable energy developers, and industrial customers across 12+ countries. Founded in 1987 and headquartered in Ayer, Massachusetts, AMSC operates through Grid and Wind segments. Under CEO Daniel McGahn (CEO since 2011, with the company since 2006), AMSC delivered record FY2025 revenue of $299.2M (+34% YoY), with Q1 FY2026 continuing at $94.1M (+30% YoY). The 12-month backlog exceeded $300M in Q1 FY2026, up ~40% YoY, driven by utility-sector demand, AI data center power infrastructure, and the Comtrafo transformer acquisition. AMSC survived the devastating 2011 Sinovel IP theft crisis that wiped out $1B+ in market value and rebuilt into a profitable growth company.</w:t>
      </w:r>
    </w:p>
    <w:p>
      <w:r>
        <w:rPr>
          <w:rFonts w:ascii="Calibri" w:hAnsi="Calibri"/>
          <w:b/>
          <w:color w:val="6E8450"/>
          <w:sz w:val="18"/>
        </w:rPr>
        <w:t>1,200 Employees · https://www.amsc.com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AMSC's turnaround from the 2011 Sinovel IP theft crisis — which caused revenue to collapse from $400M+ to under $100M and destroyed $1B+ in market value — to record FY2025 revenue of $299.2M (+34%) is among the most impressive small-cap industrial recoveries in recent decades [1]. The company successfully commercialized superconductor technology into practical power electronics, grid solutions, and wind turbine electrical systems deployed across 12+ countries. The Comtrafo acquisition added transformer capabilities, broadening the product portfolio [1]. AI Deployment (0/2): AMSC does not deploy AI in its products. CEO McGahn positions the company as an AI infrastructure enabler — their grid solutions serve the power demands of AI data centers — but this is market adjacency, not AI product development [2]. Market Share (1/2): AMSC holds meaningful positions in grid-scale power electronics and wind turbine electrical systems, particularly in ship-protection systems (degaussing) and grid voltage regulation. The company's superconductor technology remains proprietary, but market share is constrained by the ~$1.4B market cap [1]. Product Pipeline (2/2): 12-month backlog exceeding $300M (+40% YoY) with Q1 FY2026 orders over $130M provides strong revenue visibility. Comtrafo integration, AI data center grid solutions, and next-generation superconductor wire create named, near-term revenue opportunities [1]. R&amp;D Intensity (2/2): Founded on MIT superconductor research (1987), AMSC maintains active R&amp;D in high-temperature superconductor wire, power electronics, and grid-scale energy solutions — foundational technology investment appropriate for the company's positioning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AMSC's mission centers on enhancing grid reliability, enabling clean energy, and strengthening defense capabilities — specific to energy infrastructure and meaningfully connected to the clean energy transition. CEO McGahn explicitly links the company's purpose to meeting growing power demands from AI and electrification [2]. The mission is substantive but not iconic or uniquely differentiated from other power technology companies. Community Impact (1/2): AMSC's products enable gigawatts of renewable energy generation globally and improve grid reliability in 12+ countries, representing indirect but meaningful community impact through infrastructure improvement [3]. The company's ship protection systems serve naval defense applications. No standalone philanthropic or community programs were identified. Employee Retention (1/2): CEO McGahn joined AMSC in 2006 and has served as CEO since 2011 — a 15-year CEO tenure and 20-year company tenure that demonstrates leadership continuity, particularly notable given that he navigated the Sinovel crisis [2]. No Glassdoor ratings or broader workforce retention data were identified. Insider Buying (0/2): No evidence of meaningful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AMSC's trailing metrics are exceptionally strong but likely inflated by a non-recurring gain: trailing P/E of 9.51 and profit margin of 42.6% imply trailing EPS of ~$3.08, while forward EPS of ~$1.36 (forward P/E 21.62) suggests the trailing figure includes a significant one-time item — potentially acquisition-related gains from Comtrafo [4]. Core strengths: D/E of 0.68% reflects an essentially debt-free balance sheet (rare for an industrial company), revenue growth of 30% far exceeds the 10% target, and even the forward P/E of 21.62 is close to the 20x target [4]. On a normalized basis, profit margin approximates 10% (Q1 FY2026: $9.5M net income / $94.1M revenue), and normalized ROE is approximately 9%, both below target but acceptable for a small-cap industrial with rapidly growing revenue [1]. PEG ratio of ~1.23 (forward PE / earnings growth) scores well against the 1.0 target. Liquidity is solid at ~$21M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AMSC demonstrates meaningful infinite game characteristics, anchored by exceptional existential flexibility (surviving the Sinovel crisis and rebuilding the business) and courage to lead through a near-death experience. CEO McGahn's 15-year tenure as CEO through the company's worst crisis and subsequent turnaround reflects genuine long-term commitment. The gaps are in limited employee culture data, no evidence of worthy rival acknowledgment, and the relatively narrow mission focus on power technology rather than a broader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(1.5/3): AMSC's cause around enabling clean, reliable energy infrastructure has genuine substance — the company's products power gigawatts of renewable energy and improve grid reliability in 12+ countries [1]. CEO McGahn has led for 15 years, and the company's founding in 1987 on MIT superconductor research gives the cause scientific roots. However, the mission is narrowly focused on power technology rather than a broader, universally resonant vision, and the company's primary motivation through the Sinovel crisis was survival rather than cause-driven persistence. The pivot to positioning as an AI infrastructure enabler suggests the cause adapts to market opportunity rather than driving it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McGahn's 20-year tenure with the company (CEO for 15) suggests leadership stability and continuity. He navigated the company through its most difficult period (Sinovel IP theft, revenue collapse, near-bankruptcy) while retaining enough institutional knowledge to rebuild [2]. However, no Glassdoor ratings, employee engagement data, or workforce retention metrics were identified. For a company of ~1,200 employees that has undergone significant restructuring, employee trust levels during the crisis years likely varied substantially. The absence of data prevents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AMSC leadership publicly acknowledging competitors' strengths or using rivals as catalysts for self-improvement. AMSC competes with ABB, Siemens Energy, and GE Vernova in grid solutions, and with various wind turbine OEMs in electrical systems, but competitive commentary focuses on AMSC's proprietary technology advantages rather than learning from competitors [1]. The Sinovel IP theft experience may have created a more defensive competitive posture, where competitors are viewed as threats rather than worthy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Sinovel IP theft crisis (2011) forced AMSC to fundamentally reinvent itself — revenue collapsed from $400M+ to under $100M, the company lost its largest customer (40%+ of revenue), and market value evaporated [1]. Rather than dissolving, AMSC rebuilt around a diversified customer base, expanded from wind into grid solutions and ship protection, and acquired Comtrafo to add transformer capabilities. This is a textbook case of existential flexibility — the company abandoned its prior business model (dependence on a single Chinese customer) and built a more resilient, diversified platform that now generates record revenue of $299M+ with $300M+ in backlog [1]. The pivot to AI data center infrastructure represents continued adaptation to new market realities.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(1.5/2): CEO McGahn's leadership through the Sinovel crisis — pursuing a multi-year legal battle against a Chinese state-connected company, maintaining R&amp;D investment while revenue collapsed, and choosing to rebuild rather than sell the company — represents genuine courageous leadership under extreme duress [1][2]. The decision to pursue the Sinovel lawsuit (eventually resulting in a guilty verdict for trade secret theft) when settling would have been easier showed principled conviction. The Comtrafo acquisition during a period of strong growth demonstrates willingness to make transformative bets. The deduction is the absence of evidence of values-driven decisions that sacrificed near-term earnings for principled reasons beyond survival and legal vindication.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AMSC at 21.6x forward earnings offers a direct play on grid infrastructure modernization driven by AI data center demand, renewable energy expansion, and aging utility grids. The company's 12-month backlog exceeded $300M in Q1 FY2026 (+40% YoY), with Q1 orders over $130M validating accelerating demand from utilities and data center developers [1]. Revenue of $94.1M in Q1 FY2026 (+30% YoY) continues the 34% growth trajectory from FY2025's record $299.2M. The essentially debt-free balance sheet (D/E 0.68%) provides flexibility for acquisitions (Comtrafo) and R&amp;D investment. CEO McGahn's 15-year tenure through the Sinovel crisis and subsequent turnaround demonstrates resilient leadership [2]. The Inspire Impact Score of 48 (ALIGNED) with 9 positive attributions and zero negatives makes AMSC faith-friendly. AI resilience is exceptional — AMSC is a direct AI infrastructure beneficiary, not a disruption target.</w:t>
      </w:r>
    </w:p>
    <w:p>
      <w:pPr>
        <w:spacing w:after="120"/>
      </w:pPr>
      <w:r>
        <w:rPr>
          <w:rFonts w:ascii="Calibri" w:hAnsi="Calibri"/>
          <w:b w:val="0"/>
          <w:color w:val="3A4A28"/>
          <w:sz w:val="20"/>
        </w:rPr>
        <w:t>The bear case centers on valuation normalization, customer concentration risk, and small-cap execution challenges. Trailing P/E of 9.51 and profit margin of 42.6% appear inflated by a likely non-recurring gain — normalized Q1 FY2026 net margin is ~10%, and forward EPS of ~$1.36 implies the forward P/E of 21.62 is the true valuation, which is at a premium for an industrial company [4]. At $1.4B market cap, AMSC competes against ABB ($70B+), Siemens Energy ($30B+), and GE Vernova ($90B+) in grid solutions, creating scale disadvantages in R&amp;D, sales, and manufacturing. The Comtrafo integration carries execution risk. While backlog growth is strong, AMSC remains a small-cap industrial with limited revenue diversification — a slowdown in utility capex or AI data center buildout could reverse the growth trajectory. No Glassdoor data was found to validate employee culture, and the ~1,200 employee count limits organizational depth. Revenue concentration risk in any single utility customer could echo the Sinovel experience, though the company has diversified significantly since then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infrastructure buildout could sustain 30%+ revenue growth as each new data center requires grid upgrades, transformers, and power electronics — AMSC's $300M+ backlog is already partially driven by this demand and CEO McGahn explicitly positions the company as an AI infrastructure enabler [1][2]</w:t>
      </w:r>
    </w:p>
    <w:p>
      <w:pPr>
        <w:spacing w:before="40" w:after="40"/>
        <w:ind w:left="283"/>
      </w:pPr>
      <w:r>
        <w:rPr>
          <w:rFonts w:ascii="Calibri" w:hAnsi="Calibri"/>
          <w:b/>
          <w:color w:val="4A6B25"/>
          <w:sz w:val="20"/>
        </w:rPr>
        <w:t xml:space="preserve">2. </w:t>
      </w:r>
      <w:r>
        <w:rPr>
          <w:rFonts w:ascii="Calibri" w:hAnsi="Calibri"/>
          <w:b w:val="0"/>
          <w:color w:val="3A4A28"/>
          <w:sz w:val="20"/>
        </w:rPr>
        <w:t>Comtrafo acquisition integration and cross-selling transformer capabilities to AMSC's existing utility customer base could accelerate the path to $400M+ annual revenue, expanding the addressable market beyond grid solutions and wind [1]</w:t>
      </w:r>
    </w:p>
    <w:p>
      <w:pPr>
        <w:spacing w:before="40" w:after="40"/>
        <w:ind w:left="283"/>
      </w:pPr>
      <w:r>
        <w:rPr>
          <w:rFonts w:ascii="Calibri" w:hAnsi="Calibri"/>
          <w:b/>
          <w:color w:val="4A6B25"/>
          <w:sz w:val="20"/>
        </w:rPr>
        <w:t xml:space="preserve">3. </w:t>
      </w:r>
      <w:r>
        <w:rPr>
          <w:rFonts w:ascii="Calibri" w:hAnsi="Calibri"/>
          <w:b w:val="0"/>
          <w:color w:val="3A4A28"/>
          <w:sz w:val="20"/>
        </w:rPr>
        <w:t>US grid modernization spending (Inflation Reduction Act, bipartisan infrastructure investment) provides a multi-year demand tailwind for grid-scale power electronics, with AMSC's superconductor technology offering differentiated solutions for grid congestion and reliability challenges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financial metrics (P/E 9.51, profit margin 42.6%, ROE 30.2%) are likely inflated by non-recurring gains — normalized profitability (Q1 net margin ~10%) is substantially lower, and the forward P/E of 21.62 represents a premium valuation for a small-cap industrial that requires sustained 20%+ growth to justify [4]</w:t>
      </w:r>
    </w:p>
    <w:p>
      <w:pPr>
        <w:spacing w:before="40" w:after="40"/>
        <w:ind w:left="283"/>
      </w:pPr>
      <w:r>
        <w:rPr>
          <w:rFonts w:ascii="Calibri" w:hAnsi="Calibri"/>
          <w:b/>
          <w:color w:val="4A6B25"/>
          <w:sz w:val="20"/>
        </w:rPr>
        <w:t xml:space="preserve">2. </w:t>
      </w:r>
      <w:r>
        <w:rPr>
          <w:rFonts w:ascii="Calibri" w:hAnsi="Calibri"/>
          <w:b w:val="0"/>
          <w:color w:val="3A4A28"/>
          <w:sz w:val="20"/>
        </w:rPr>
        <w:t>Scale disadvantage against ABB, Siemens Energy, and GE Vernova in grid solutions creates competitive risk — these companies have 20-60x AMSC's revenue, deeper R&amp;D budgets, and broader customer relationships, and could aggressively pursue the AI data center power market AMSC is targeting [1]</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or single-project dependency could create revenue volatility — the $300M 12-month backlog, while strong, represents only ~3.2 quarters of revenue at current run rates, providing moderate but not exceptional visibility for a cyclical industrial business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AMSC's products are physical electrical infrastructure — superconductor wire, power electronics, transformers, ship protection systems, and grid voltage regulators — that cannot be substituted by software or AI algorithms [1]. Power grids require physical equipment to manage voltage, protect against faults, and transmit electricity; no amount of AI advancement changes the need for copper, superconductor wire, and power electronics hardware. The utility regulatory environment (IEEE standards, UL certification, utility procurement cycles) creates multi-year barriers. AMSC's superconductor technology is proprietary, representing deep physics-based intellectual property that AI cannot replicate. The only vulnerability is in grid optimization software, where AI could potentially reduce demand for some power electronics by improving grid efficiency — but this risk is marginal given the massive growth in electricity demand from AI itself [2]. AI Opportunity (1/1): AMSC is a direct beneficiary of AI infrastructure buildout. CEO McGahn explicitly positions the company as serving AI data center power demands, and the $300M+ backlog growth is partly driven by utility-sector investments to support data center electricity consumption [1][2]. Every new AI data center requires grid upgrades and power infrastructure — AMSC's core business. The company does not sell AI products, but AI demand is a structural tailwind for its entire product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Superconductor FY2025 and Q1 FY2026 Earnings — FY2025 Revenue $299.2M (+34%), Q1 FY2026 Revenue $94.1M (+30%), Q1 EPS $0.21, 12-Month Backlog &gt;$300M (+40% YoY), Q1 Orders &gt;$130M — SEC Form 8-K, Investing.com, Yahoo Finance, StockTitan, 2026</w:t>
      </w:r>
    </w:p>
    <w:p>
      <w:pPr>
        <w:spacing w:before="20" w:after="20"/>
        <w:ind w:left="170"/>
      </w:pPr>
      <w:r>
        <w:rPr>
          <w:rFonts w:ascii="Calibri" w:hAnsi="Calibri"/>
          <w:b/>
          <w:color w:val="4A6B25"/>
          <w:sz w:val="15"/>
        </w:rPr>
        <w:t xml:space="preserve">2. </w:t>
      </w:r>
      <w:r>
        <w:rPr>
          <w:rFonts w:ascii="Calibri" w:hAnsi="Calibri"/>
          <w:b w:val="0"/>
          <w:color w:val="3A4A28"/>
          <w:sz w:val="17"/>
        </w:rPr>
        <w:t>AMSC CEO Daniel McGahn Leadership — CEO Since 2011, With Company Since 2006, AI Data Center Power Demand Positioning, Grid Reliability Vision — AMSC.com, Yahoo Finance, Simply Wall St, 2025-2026</w:t>
      </w:r>
    </w:p>
    <w:p>
      <w:pPr>
        <w:spacing w:before="20" w:after="20"/>
        <w:ind w:left="170"/>
      </w:pPr>
      <w:r>
        <w:rPr>
          <w:rFonts w:ascii="Calibri" w:hAnsi="Calibri"/>
          <w:b/>
          <w:color w:val="4A6B25"/>
          <w:sz w:val="15"/>
        </w:rPr>
        <w:t xml:space="preserve">3. </w:t>
      </w:r>
      <w:r>
        <w:rPr>
          <w:rFonts w:ascii="Calibri" w:hAnsi="Calibri"/>
          <w:b w:val="0"/>
          <w:color w:val="3A4A28"/>
          <w:sz w:val="17"/>
        </w:rPr>
        <w:t>AMSC ESG Profile — Sustainalytics Controversy Level 'None', Renewable Energy Enabler (Gigawatts Across 12+ Countries), Grid Reliability and Defense Applications — Yahoo Finance Sustainability, Wikipedia,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AMSC Key Statistics: Price $29.29, Market Cap $1.42B, P/E 9.51, Forward P/E 21.62, D/E 0.68%, ROE 30.2%, Profit Margin 42.6%, Revenue Growth 30%, Avg Volume 720K,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