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AMTM</w:t>
      </w:r>
      <w:r>
        <w:rPr>
          <w:rFonts w:ascii="Calibri" w:hAnsi="Calibri"/>
          <w:b/>
          <w:color w:val="1A2010"/>
          <w:sz w:val="40"/>
        </w:rPr>
        <w:t xml:space="preserve">  Amentum Holdings, Inc.</w:t>
      </w:r>
    </w:p>
    <w:p>
      <w:pPr>
        <w:spacing w:after="120"/>
      </w:pPr>
      <w:r>
        <w:rPr>
          <w:rFonts w:ascii="Calibri" w:hAnsi="Calibri"/>
          <w:b/>
          <w:color w:val="6E8450"/>
          <w:sz w:val="18"/>
        </w:rPr>
        <w:t>GROWTH SLEEVE · 2026-09-10 · Inspire: 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Business Services · NYSE · United States</w:t>
      </w:r>
    </w:p>
    <w:p>
      <w:pPr>
        <w:spacing w:after="80"/>
      </w:pPr>
      <w:r>
        <w:rPr>
          <w:rFonts w:ascii="Calibri" w:hAnsi="Calibri"/>
          <w:b w:val="0"/>
          <w:color w:val="3A4A28"/>
          <w:sz w:val="20"/>
        </w:rPr>
        <w:t>Amentum Holdings is a global leader in advanced engineering and technology solutions serving the U.S. federal government and allied nations across defense, intelligence, energy, space, and commercial sectors. Formed through the 2024 merger of legacy Amentum and Jacobs Critical Mission Solutions, the company operates with approximately 53,000 employees in more than 70 countries. Amentum reported Q3 FY2026 revenue of $3.5B (+1% YoY) with adjusted EBITDA of $290M (+6% YoY, 8.3% margin) and adjusted EPS of $0.67 (+20% YoY). The company holds a $48B total backlog with TTM book-to-bill of 1.3x. FY2026 revenue guidance was revised to $13.8B-$13.95B (down due to NASA insourcing and contract protests), but EBITDA and EPS guidance were raised on margin expansion. CEO John Heller has led the company since March 2022.</w:t>
      </w:r>
    </w:p>
    <w:p>
      <w:r>
        <w:rPr>
          <w:rFonts w:ascii="Calibri" w:hAnsi="Calibri"/>
          <w:b/>
          <w:color w:val="6E8450"/>
          <w:sz w:val="18"/>
        </w:rPr>
        <w:t>53,000 Employees · https://www.amentum.com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transformative 2024 merger of legacy Amentum with Jacobs Critical Mission Solutions created a $14B+ diversified government services company with expanded capabilities across defense, intelligence, energy, and space — a significant strategic move that broadened the company's addressable market and competitive positioning [1]. However, the merger is an acquisition-driven transformation rather than organic product innovation, and the integration is still underway with revenue headwinds from NASA insourcing affecting near-term performance. AI Deployment (1/2): Amentum appointed Dr. Sam Nazari as Chief AI Architect in May 2026 to drive enterprise-wide AI integration, and company leadership describes 'grassroots AI innovation' across the organization [2]. However, no specific AI-powered products with quantified revenue, customer deployments, or measurable cost savings have been publicly disclosed. The AI strategy appears to be in early implementation rather than delivering measurable commercial results. Market Share (1/2): Amentum is one of the largest government services contractors globally with $14B+ revenue and operations across 70+ countries, serving defense, intelligence, and energy clients [1]. However, the government services market is highly fragmented with strong competitors including Leidos, SAIC, Booz Allen Hamilton, and KBR, and Amentum does not hold dominant share in any single services category. Pipeline (1/2): The $48B total backlog with TTM book-to-bill of 1.3x provides exceptional revenue visibility for a services company, and funded backlog grew 10% YoY to $6.2B [1]. Net bookings of $3.9B in Q3 demonstrate continued strong business development. However, government services companies do not typically announce specific next-generation products with named launch dates. R&amp;D Intensity (0/1): Government services contractors invest minimally in traditional R&amp;D relative to revenue. Amentum's technology spending is primarily directed at client solutions and internal AI capabilities rather than fundamental research.</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Amentum's stated purpose — solving the world's most complex challenges in science, security, and sustainability — is clear and connects the company's work to national security, environmental remediation, and global defense missions that serve a broader public interest [2]. The mission is more distinctive than generic government contractor positioning and reflects genuine engagement with consequential challenges. However, it has not been validated through decades of consistent execution — the company in its current form exists only since the 2024 merger — and it remains a statement of intent rather than a proven competitive advantage. Community Impact (0/2): No evidence of distinctive charitable giving, community programs, or social investment was identified beyond standard corporate citizenship. The company's focus on government services limits visibility into community engagement programs. Employee Retention (1/2): Glassdoor data shows 71% of employees would recommend Amentum, with ratings of 3.5/5 for both culture and career opportunities — average for a large government contractor [2]. Managing 53,000 employees across 70 countries creates cultural complexity, and the recent merger likely introduced integration-related uncertainty. No specific voluntary turnover rate or average tenure data was found. Insider Buying (0/2): Recent insider transactions show RSU vesting and tax withholding activity (COO Arnette) rather than discretionary open-market purchases [4]. No evidence of meaningful net insider buying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using growth-sleeve methodology. Amentum's standout metric is its extremely attractive valuation — forward P/E of 9.01x is well below the 20x target, and the estimated forward PEG of approximately 0.50 is well below the 1.0 target, reflecting significant undervaluation relative to the company's EPS growth trajectory (+20% YoY in Q3) [4]. Debt-to-equity of 81.47% is slightly above the 70% target but within reasonable range for a recently merged entity (score 0.95). The balance sheet weakness is offset by strong cash generation capacity from government contracts. The primary drags are ROE of 4.46%, well below the 15% target, reflecting the dilutive impact of the Jacobs merger on equity returns, and GAAP profit margin of only 1.04%, typical of government services companies with thin margins but high revenue volume [4]. Revenue growth of approximately +1% YoY in Q3 FY2026 is below the 10% target, with full-year guidance revised down to $13.8-13.95B due to NASA insourcing and contract protest delays [1]. The 5-year revenue CAGR is excluded as the company is too new in its current form for a meaningful historical comparison. The stock easily clears the liquidity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Amentum in its current form is too young (2024 merger) to have demonstrated the sustained purpose, cultural trust, and existential flexibility that characterize infinite-game players. The company's competitive language is oriented toward revenue targets, market share, and contract wins — finite metrics. The merger with Jacobs CMS was a growth-oriented strategic transaction rather than a cause-driven evolution. CEO Heller has articulated a clear operational vision but has not yet established the kind of enduring purpose that survives leadership transitions and market crises. The government services industry, with its focus on contract competitions and quarterly backlog reporting, inherently encourages finite-game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Amentum's purpose of solving complex challenges in science, security, and sustainability connects the company's work to genuinely consequential missions — national defense, environmental remediation, space exploration, and intelligence operations [2]. CEO Heller has articulated this vision since 2022, and the merger with Jacobs CMS was framed as expanding the company's capability to serve these missions. However, the company is only two years old in its current form, and the purpose has not been tested through crisis, leadership transition, or sustained execution over market cycles. The Just Cause reads as a corporate positioning statement rather than a deeply held belief that shapes difficult strategic decisions — the 2024 merger was driven by commercial logic (scale, diversification) rather than the cause demanding expansion.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Amentum's Glassdoor data shows 71% of employees would recommend the company with 3.5/5 ratings for both culture and career opportunities — average for a large government contractor [2]. The company manages 53,000 employees across 70+ countries, which inherently creates cultural complexity. The recent Jacobs CMS merger likely introduced integration-related uncertainty and cultural friction as two organizations combine. CEO Heller and COO Arnette provide leadership stability, and the company's emphasis on 'excellence, integrity, and innovation' suggests formal cultural values. However, no evidence of exceptional trust, empowerment, or employee-cited purpose was found — the organizational culture appears adequate but not distinctive.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Amentum competes in the government services market where competitive dynamics are fundamentally finite — contract competitions are zero-sum bidding processes, win rates are tracked as key performance metrics, and success is measured by contract awards and revenue growth relative to peers [1]. Management commentary focuses on backlog growth, book-to-bill ratios, and competitive positioning rather than learning from rivals' strengths. No evidence was found of the company using competitive pressure from Leidos, SAIC, or Booz Allen as motivation for self-improvement in Sinek's sense.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2024 merger of legacy Amentum with Jacobs Critical Mission Solutions represents a meaningful strategic transformation — combining two separate entities into a $14B+ diversified government services company with expanded capabilities across defense, intelligence, energy, space, and commercial sectors [1]. This required abandoning the standalone identity of both predecessor companies in favor of a larger combined entity. Additionally, legacy Amentum was itself a 2020 spinoff from AECOM, representing another significant structural transformation. However, these corporate transactions were driven by commercial logic (scale, diversification, synergies) rather than a Just Cause demanding evolution, and the fundamental business model (government services contracting) has not changed.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Amentum's management demonstrated operational discipline in Q3 FY2026 by raising EBITDA and EPS guidance despite revising revenue guidance downward — choosing to invest in margin improvement and operational efficiency rather than chasing revenue at the expense of profitability [1]. The appointment of a Chief AI Architect and commitment to enterprise-wide AI integration represents investment in future capability. The 2024 merger itself was a significant strategic bet requiring substantial integration effort and execution risk. However, the company has not demonstrated the kind of costly principled stance or sacrifice of near-term earnings for long-term capability that characterizes a 2 — decisions have been commercially rational rather than courageous in Sinek's sense.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Amentum at 9.01x forward earnings with a forward PEG of approximately 0.50 is a deeply undervalued government services leader trading at a significant discount to peers despite delivering 20% adjusted EPS growth in Q3 FY2026 and holding a massive $48B backlog with TTM book-to-bill of 1.3x [1]. The company's post-merger scale ($14B+ revenue, 53,000 employees, 70+ countries) creates competitive advantages in pursuing large-scale, complex government contracts across defense, intelligence, energy, and space. Funded backlog grew 10% YoY to $6.2B, providing near-term revenue visibility, while adjusted EBITDA margin expansion to 8.3% (+40bps YoY) demonstrates operational improvement [1]. The FY2027 outlook anticipates mid-single-digit growth excluding NASA headwinds, suggesting the near-term revenue pressures are temporary. The appointment of a Chief AI Architect and investment in enterprise-wide AI capabilities positions Amentum to capture growing DoD and intelligence community AI spending [2]. The company's structurally high AI resilience (score 9) reflects the physical-world, clearance-protected nature of its core services.</w:t>
      </w:r>
    </w:p>
    <w:p>
      <w:pPr>
        <w:spacing w:after="120"/>
      </w:pPr>
      <w:r>
        <w:rPr>
          <w:rFonts w:ascii="Calibri" w:hAnsi="Calibri"/>
          <w:b w:val="0"/>
          <w:color w:val="3A4A28"/>
          <w:sz w:val="20"/>
        </w:rPr>
        <w:t>The bear case focuses on thin margins, revenue headwinds, and merger integration risk. GAAP profit margin of only 1.04% leaves minimal room for error — government services contractors operate on thin margins where cost overruns, contract disputes, or pricing pressure can quickly turn profits into losses [4]. FY2026 revenue guidance was revised downward to $13.8-13.95B from higher levels due to NASA insourcing (a structural headwind as the agency brings work in-house) and contract protest delays, suggesting vulnerability to government budget and procurement decisions [1]. ROE of only 4.46% reflects dilutive post-merger capital structure and the inherently capital-light but low-return nature of government services contracting. The 2024 merger integration is ongoing, creating execution risk as two large organizations combine cultures, systems, and operations across 70+ countries. The company has limited track record in its current form — only two years of combined operating history provides insufficient data to assess long-term strategic capability. Legacy controversies including human trafficking and contract fraud allegations from the AECOM subsidiary era (now Amentum) create reputational risk [3]. The Inspire Impact Score of 5 (MIXED) with only one positive attribution (Customer Privacy) provides minimal appeal for faith-based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Margin expansion trajectory continues with adjusted EBITDA margin at 8.3% and management raising profitability guidance — further operational efficiency gains from merger synergies could drive EPS growth well above the already-strong 20% pace on a forward P/E of only 9.01x [1]</w:t>
      </w:r>
    </w:p>
    <w:p>
      <w:pPr>
        <w:spacing w:before="40" w:after="40"/>
        <w:ind w:left="283"/>
      </w:pPr>
      <w:r>
        <w:rPr>
          <w:rFonts w:ascii="Calibri" w:hAnsi="Calibri"/>
          <w:b/>
          <w:color w:val="4A6B25"/>
          <w:sz w:val="20"/>
        </w:rPr>
        <w:t xml:space="preserve">2. </w:t>
      </w:r>
      <w:r>
        <w:rPr>
          <w:rFonts w:ascii="Calibri" w:hAnsi="Calibri"/>
          <w:b w:val="0"/>
          <w:color w:val="3A4A28"/>
          <w:sz w:val="20"/>
        </w:rPr>
        <w:t>Enterprise-wide AI integration under new Chief AI Architect could unlock significant new revenue from growing DoD and intelligence community AI spending, positioning Amentum as a trusted AI solutions provider to classified government clients [2]</w:t>
      </w:r>
    </w:p>
    <w:p>
      <w:pPr>
        <w:spacing w:before="40" w:after="40"/>
        <w:ind w:left="283"/>
      </w:pPr>
      <w:r>
        <w:rPr>
          <w:rFonts w:ascii="Calibri" w:hAnsi="Calibri"/>
          <w:b/>
          <w:color w:val="4A6B25"/>
          <w:sz w:val="20"/>
        </w:rPr>
        <w:t xml:space="preserve">3. </w:t>
      </w:r>
      <w:r>
        <w:rPr>
          <w:rFonts w:ascii="Calibri" w:hAnsi="Calibri"/>
          <w:b w:val="0"/>
          <w:color w:val="3A4A28"/>
          <w:sz w:val="20"/>
        </w:rPr>
        <w:t>$48B backlog with 1.3x TTM book-to-bill provides exceptional forward revenue visibility, and easing of NASA insourcing headwinds in FY2027 could restore organic revenue growth to mid-single digits while margins continue expanding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profit margin of only 1.04% and ROE of 4.46% reflect the structurally thin margins of government services contracting — cost overruns, contract disputes, or pricing pressure could quickly erode profitability on a $14B revenue base [4]</w:t>
      </w:r>
    </w:p>
    <w:p>
      <w:pPr>
        <w:spacing w:before="40" w:after="40"/>
        <w:ind w:left="283"/>
      </w:pPr>
      <w:r>
        <w:rPr>
          <w:rFonts w:ascii="Calibri" w:hAnsi="Calibri"/>
          <w:b/>
          <w:color w:val="4A6B25"/>
          <w:sz w:val="20"/>
        </w:rPr>
        <w:t xml:space="preserve">2. </w:t>
      </w:r>
      <w:r>
        <w:rPr>
          <w:rFonts w:ascii="Calibri" w:hAnsi="Calibri"/>
          <w:b w:val="0"/>
          <w:color w:val="3A4A28"/>
          <w:sz w:val="20"/>
        </w:rPr>
        <w:t>Revenue headwinds from NASA insourcing and contract protest delays caused FY2026 guidance revision downward, demonstrating vulnerability to government budget decisions and procurement process risks that are outside management's control [1]</w:t>
      </w:r>
    </w:p>
    <w:p>
      <w:pPr>
        <w:spacing w:before="40" w:after="40"/>
        <w:ind w:left="283"/>
      </w:pPr>
      <w:r>
        <w:rPr>
          <w:rFonts w:ascii="Calibri" w:hAnsi="Calibri"/>
          <w:b/>
          <w:color w:val="4A6B25"/>
          <w:sz w:val="20"/>
        </w:rPr>
        <w:t xml:space="preserve">3. </w:t>
      </w:r>
      <w:r>
        <w:rPr>
          <w:rFonts w:ascii="Calibri" w:hAnsi="Calibri"/>
          <w:b w:val="0"/>
          <w:color w:val="3A4A28"/>
          <w:sz w:val="20"/>
        </w:rPr>
        <w:t>Two-year track record since the 2024 Jacobs merger provides insufficient history to assess strategic capability, and ongoing integration of 53,000 employees across 70 countries creates execution risk that could disrupt operational performance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Amentum's core business — providing mission-critical engineering, technology, and support services to defense, intelligence, energy, and space clients — involves physical-world operations that AI structurally cannot displace [1]. The company's services require on-site presence at military bases, nuclear facilities, space launch complexes, and intelligence operations centers. Security clearances at the SECRET and TOP SECRET/SCI levels create regulatory moats that AI tools cannot obtain. Government contracting involves complex procurement processes, compliance requirements, and relationship-based business development that are deeply human-intensive. Environmental remediation, facility management, and weapons system maintenance are physical operations that AI cannot perform. The only exposure is that AI could increase efficiency of some support functions (IT services, data analytics) potentially reducing the scope of some contracts, but the core mission-critical services are structurally immune. AI might also disrupt some back-office functions that Amentum performs for clients. AI Opportunity (1/1): Amentum is actively developing AI capabilities for government clients, appointing a Chief AI Architect (Dr. Sam Nazari) in May 2026 to drive enterprise-wide AI integration [2]. The company is building AI-powered solutions for defense and intelligence customers, a market where demand for AI applications is rapidly growing as the DoD and intelligence community invest in AI adoption. While specific AI revenue is not separately disclosed, AI-enabled services represent a meaningful and growing portion of the company's pipeline and backlog.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Amentum Q3 FY2026 Earnings — Revenue $3.5B (+1%), Adj EBITDA $290M (+6%, 8.3% margin), Adj EPS $0.67 (+20%), $48B Backlog, Book-to-Bill 1.3x TTM, FY26 Revenue Guidance $13.8-13.95B — GuruFocus, StockTitan, Seeking Alpha, August 2026</w:t>
      </w:r>
    </w:p>
    <w:p>
      <w:pPr>
        <w:spacing w:before="20" w:after="20"/>
        <w:ind w:left="170"/>
      </w:pPr>
      <w:r>
        <w:rPr>
          <w:rFonts w:ascii="Calibri" w:hAnsi="Calibri"/>
          <w:b/>
          <w:color w:val="4A6B25"/>
          <w:sz w:val="15"/>
        </w:rPr>
        <w:t xml:space="preserve">2. </w:t>
      </w:r>
      <w:r>
        <w:rPr>
          <w:rFonts w:ascii="Calibri" w:hAnsi="Calibri"/>
          <w:b w:val="0"/>
          <w:color w:val="3A4A28"/>
          <w:sz w:val="17"/>
        </w:rPr>
        <w:t>Amentum Leadership and AI Strategy — CEO John Heller (since 2022), Chief AI Architect Dr. Sam Nazari (May 2026), 53K Employees, Glassdoor 71% Recommend (3.5/5), Grassroots AI Innovation — Washington Technology, ExecutiveBiz, Glassdoor, 2026</w:t>
      </w:r>
    </w:p>
    <w:p>
      <w:pPr>
        <w:spacing w:before="20" w:after="20"/>
        <w:ind w:left="170"/>
      </w:pPr>
      <w:r>
        <w:rPr>
          <w:rFonts w:ascii="Calibri" w:hAnsi="Calibri"/>
          <w:b/>
          <w:color w:val="4A6B25"/>
          <w:sz w:val="15"/>
        </w:rPr>
        <w:t xml:space="preserve">3. </w:t>
      </w:r>
      <w:r>
        <w:rPr>
          <w:rFonts w:ascii="Calibri" w:hAnsi="Calibri"/>
          <w:b w:val="0"/>
          <w:color w:val="3A4A28"/>
          <w:sz w:val="17"/>
        </w:rPr>
        <w:t>Amentum ESG and Controversies — Human Trafficking/Fraud Lawsuit (Legacy AECOM Subsidiary), Libya Training Controversy, GAO Procurement Reviews — Wikipedia, Declassified Australia, GovCon Wire,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GuruFocus — AMTM Key Statistics: Forward P/E 9.01, D/E 81.47%, ROE 4.46%, Profit Margin 1.04%, Stock Price ~$23, 244.3M Shares,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