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w:t>
      </w:r>
      <w:r>
        <w:rPr>
          <w:rFonts w:ascii="Calibri" w:hAnsi="Calibri"/>
          <w:b/>
          <w:color w:val="1A2010"/>
          <w:sz w:val="40"/>
        </w:rPr>
        <w:t xml:space="preserve">  Antero Midstream Corporation</w:t>
      </w:r>
    </w:p>
    <w:p>
      <w:pPr>
        <w:spacing w:after="120"/>
      </w:pPr>
      <w:r>
        <w:rPr>
          <w:rFonts w:ascii="Calibri" w:hAnsi="Calibri"/>
          <w:b/>
          <w:color w:val="6E8450"/>
          <w:sz w:val="18"/>
        </w:rPr>
        <w:t>DIVIDEND SLEEVE · 2026-09-04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Antero Midstream Corporation owns, operates, and develops midstream energy infrastructure in the Appalachian Basin, providing gathering, compression, processing, and water handling services primarily for Antero Resources Corporation. Assets include approximately 570 miles of gathering pipelines, compressor stations, processing and fractionation plants, and water handling facilities in West Virginia and Ohio. Q2 2026 revenue of $327M with record adjusted EBITDA of $289M. Completed HG Energy acquisition in February 2026 and received $371M Veolia litigation settlement. Market cap approximately $10.7B.</w:t>
      </w:r>
    </w:p>
    <w:p>
      <w:r>
        <w:rPr>
          <w:rFonts w:ascii="Calibri" w:hAnsi="Calibri"/>
          <w:b/>
          <w:color w:val="6E8450"/>
          <w:sz w:val="18"/>
        </w:rPr>
        <w:t>632 Employees · https://www.anteromidstream.com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Completed its largest acquisition in company history (HG Energy) in February 2026, expanding midstream capacity and service scope, and commenced the East Side Express intrastate pipeline project in Q2 2026 [1][2]. However, the core business model of gathering and processing natural gas has remained fundamentally unchanged since inception — these are capacity additions, not product innovations. AI Deployment (0/2): No AI products deployed, no quantified AI-driven savings. Industry analysis noted a 'significant talent gap and lack of a formal AI strategy' as an internal weakness [3]. Market Share (1/2): Dominant midstream services provider in the Appalachian Basin for Antero Resources. Gathering volumes reached 4,124 MMcf/d in Q2 2026 (+19% YoY) and compression 4,036 MMcf/d (+17% YoY), demonstrating strong positioning in one of the most productive gas basins in the US [2]. However, the captive relationship with a single primary customer limits the competitive significance. Product Pipeline (0/2): No next-generation products. Growth is tied to Antero Resources' drilling activity and organic capacity expansion. R&amp;D Intensity (0/1): Pipeline/midstream infrastructure company with no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Antero Midstream's communications focus on operational efficiency, capital returns, and shareholder value creation. The company lacks a distinctive purpose statement connecting its work to a larger societal vision beyond providing midstream services [4]. Community Impact (0/2): Standard corporate responsibility practices. Built the largest water pipeline system in Appalachia (environmental benefit from reduced truck traffic), but no distinctive charitable foundation or specific dollar amounts identified for community investment. Employee Retention (1/2): Small organization of 632 employees. Michael Kennedy was appointed CEO in August 2025 in an orderly transition from founder Paul Rady (Chairman Emeritus) [3]. ESG metrics tied to executive compensation suggest organizational alignment. Glassdoor rating of 3.3/5 for Antero Resources with culture at 2.9 — average at best. Insider Buying (0/2): No evidence of meaningful net insider buying by leadership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on available metrics. Q2 2026 delivered record adjusted EBITDA of $289M with adjusted free cash flow after dividends of $80M, and the $371M Veolia settlement strengthens the balance sheet [2]. Profit margin of 30.45% and ROE of 19.82% both exceed their respective targets, reflecting the toll-road-like business model's capital efficiency [5]. Forward P/E of 16.95 is attractively below the 20x target. D/E of 186% is elevated for a pipeline company (scores 0.50 against 70% target, 300% floor), and the GAAP payout ratio of 108.55% exceeds the 100% floor (though distributable cash flow covers the dividend at 55% cash payout) [5]. Revenue growth YoY of ~7% benefits from the HG acquisition but organic growth remains modest. Consecutive years paid of 7 (since C-corp conversion in 2019) and 5 consecutive years of growth provide income reliability, though the 5yr dividend growth CAGR of ~4% reflects modest increases from the 2020 post-cut level. Liquidity floor cleared: ~2.3M shares x $22.46 = ~$51M daily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Antero Midstream is a quintessential finite player. The company exists to provide midstream services to Antero Resources and return capital to shareholders — a clear, bounded purpose with no articulated vision of a future state worth sacrificing for. The business model has not evolved since inception, the competitive strategy is captive rather than rival-driven, and leadership communications focus on EBITDA growth and dividend coverage rather than purpose. The orderly CEO transition suggests organizational stability but not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Antero Midstream has no articulated Just Cause. The company's purpose is to gather, compress, process, and transport natural gas — a necessary economic function but not a vision of a future state that inspires sacrifice [4]. Earnings calls and investor presentations focus exclusively on EBITDA growth, free cash flow, dividend coverage, and acquisition synergies. There is no evidence that leadership frames the company's work in terms of a larger purpose beyond operational efficiency and capital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632 employees, Antero Midstream operates as a relatively small, focused organization [5]. The August 2025 CEO transition from founder Paul Rady to Michael Kennedy was orderly, suggesting organizational stability [3]. ESG metrics tied to executive compensation indicate some alignment between leadership and organizational values. Safety is a stated core value with a zero-incidents goal. However, Glassdoor rating of 3.3 with culture at 2.9/5 suggests average employee sentiment, and no specific trust or empowerment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captive midstream provider primarily serving a single customer (Antero Resources), Antero Midstream operates in a limited competitive context. The company does not reference competitors or demonstrate that it uses competitive dynamics as motivation for improvement. Peers like MPLX, Western Midstream, and Crestwood possess strengths that could inspire improvement, but management commentary frames success in absolute terms rather than relative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Antero Midstream has not demonstrated meaningful strategic flexibility or business model evolution since formation. The company was created to provide midstream services to Antero Resources and continues to do exactly that. The HG Energy acquisition expands capacity but does not change the fundamental business model. No pivots, no entry into adjacent energy transition markets, and no evidence of willingness to fundamentally rethink the business in response to industry shifts.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Completed the largest acquisition in company history (HG Energy, February 2026) ahead of schedule, demonstrating willingness to invest for long-term capacity growth [1]. The company also maintained dividend growth through energy market volatility and commenced the East Side Express pipeline project. However, these decisions are standard capital allocation for a midstream company — they optimize the existing business model rather than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Antero Midstream offers a compelling income profile with a 4.01% dividend yield supported by record Q2 2026 adjusted EBITDA of $289M and adjusted free cash flow after dividends of $80M [2]. The $371M Veolia litigation settlement provides a one-time balance sheet boost, and the HG Energy acquisition (completed ahead of schedule in February 2026) drives high-single-digit EBITDA growth guidance for the full year [1][2]. Gathering volumes up 19% YoY and compression up 17% reflect strong underlying production growth from Antero Resources in the Appalachian Basin. ROE of 19.82% and profit margin of 30.45% reflect efficient toll-road operations, and forward P/E of 16.95 offers reasonable valuation for a stable infrastructure income generator with a secular tailwind from AI-driven data center natural gas demand.</w:t>
      </w:r>
    </w:p>
    <w:p>
      <w:pPr>
        <w:spacing w:after="120"/>
      </w:pPr>
      <w:r>
        <w:rPr>
          <w:rFonts w:ascii="Calibri" w:hAnsi="Calibri"/>
          <w:b w:val="0"/>
          <w:color w:val="3A4A28"/>
          <w:sz w:val="20"/>
        </w:rPr>
        <w:t>The bear case centers on structural limitations: customer concentration risk with Antero Resources as the primary customer means any reduction in AR's drilling activity or financial distress directly impacts throughput and revenue. D/E of 186% is standard for midstream but limits financial flexibility, and the GAAP payout ratio of 108.55% technically exceeds earnings, relying on depreciation-sheltered distributable cash flow to cover the dividend [5]. EPS declined ~1% YoY despite revenue growth, suggesting HG integration costs and elevated depreciation are pressuring GAAP profitability. Revenue growth YoY of ~7% is largely acquisition-driven, with organic growth in the low single digits. The energy transition poses a multi-decade secular risk to natural gas infrastructure, even as near-term AI data center demand provides a tailwind. The dividend has grown only ~4% annually over 5 years from the post-2020 cut level, well below the 6% IOWN target. The Inspire Impact Score of 44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integration of HG Energy acquisition expanding capacity and driving synergies toward full-year 2026 EBITDA guidance of 8% growth, with East Side Express pipeline project providing additional long-term throughput capacity [1][2]</w:t>
      </w:r>
    </w:p>
    <w:p>
      <w:pPr>
        <w:spacing w:before="40" w:after="40"/>
        <w:ind w:left="283"/>
      </w:pPr>
      <w:r>
        <w:rPr>
          <w:rFonts w:ascii="Calibri" w:hAnsi="Calibri"/>
          <w:b/>
          <w:color w:val="4A6B25"/>
          <w:sz w:val="20"/>
        </w:rPr>
        <w:t xml:space="preserve">2. </w:t>
      </w:r>
      <w:r>
        <w:rPr>
          <w:rFonts w:ascii="Calibri" w:hAnsi="Calibri"/>
          <w:b w:val="0"/>
          <w:color w:val="3A4A28"/>
          <w:sz w:val="20"/>
        </w:rPr>
        <w:t>AI-driven data center construction accelerating natural gas demand as the primary dispatchable power source for electricity generation, providing a secular tailwind for Appalachian Basin production and midstream throughput volumes</w:t>
      </w:r>
    </w:p>
    <w:p>
      <w:pPr>
        <w:spacing w:before="40" w:after="40"/>
        <w:ind w:left="283"/>
      </w:pPr>
      <w:r>
        <w:rPr>
          <w:rFonts w:ascii="Calibri" w:hAnsi="Calibri"/>
          <w:b/>
          <w:color w:val="4A6B25"/>
          <w:sz w:val="20"/>
        </w:rPr>
        <w:t xml:space="preserve">3. </w:t>
      </w:r>
      <w:r>
        <w:rPr>
          <w:rFonts w:ascii="Calibri" w:hAnsi="Calibri"/>
          <w:b w:val="0"/>
          <w:color w:val="3A4A28"/>
          <w:sz w:val="20"/>
        </w:rPr>
        <w:t>$371M Veolia litigation settlement providing balance sheet flexibility for additional debt reduction, share repurchases ($8M in Q2), or incremental dividend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risk — Antero Resources is the primary customer, meaning any reduction in AR's drilling activity, financial distress, or strategic shift would directly impact Antero Midstream's throughput volumes and revenue stability</w:t>
      </w:r>
    </w:p>
    <w:p>
      <w:pPr>
        <w:spacing w:before="40" w:after="40"/>
        <w:ind w:left="283"/>
      </w:pPr>
      <w:r>
        <w:rPr>
          <w:rFonts w:ascii="Calibri" w:hAnsi="Calibri"/>
          <w:b/>
          <w:color w:val="4A6B25"/>
          <w:sz w:val="20"/>
        </w:rPr>
        <w:t xml:space="preserve">2. </w:t>
      </w:r>
      <w:r>
        <w:rPr>
          <w:rFonts w:ascii="Calibri" w:hAnsi="Calibri"/>
          <w:b w:val="0"/>
          <w:color w:val="3A4A28"/>
          <w:sz w:val="20"/>
        </w:rPr>
        <w:t>D/E of 186% and GAAP payout ratio of 108.55% indicate elevated financial leverage with dividend coverage dependent on non-cash depreciation add-backs — a sustained earnings decline could pressure the distribution [5]</w:t>
      </w:r>
    </w:p>
    <w:p>
      <w:pPr>
        <w:spacing w:before="40" w:after="40"/>
        <w:ind w:left="283"/>
      </w:pPr>
      <w:r>
        <w:rPr>
          <w:rFonts w:ascii="Calibri" w:hAnsi="Calibri"/>
          <w:b/>
          <w:color w:val="4A6B25"/>
          <w:sz w:val="20"/>
        </w:rPr>
        <w:t xml:space="preserve">3. </w:t>
      </w:r>
      <w:r>
        <w:rPr>
          <w:rFonts w:ascii="Calibri" w:hAnsi="Calibri"/>
          <w:b w:val="0"/>
          <w:color w:val="3A4A28"/>
          <w:sz w:val="20"/>
        </w:rPr>
        <w:t>Long-term energy transition risk — secular shift toward renewable electricity generation and electrification could reduce natural gas demand post-2035, potentially stranding midstream infrastructure assets with multi-decade useful lives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Midstream pipeline infrastructure is among the most AI-immune businesses in existence. Physical gathering pipelines, compressor stations, processing plants, and water handling facilities cannot be replicated or substituted by AI [4]. These assets require decades of capital investment, regulatory permitting (FERC, state-level), and right-of-way access creating permanent structural moats. Natural gas processing and transportation are essential functions regardless of AI advancement. AI actively increases natural gas demand — data centers powering AI models require enormous electricity, and natural gas remains the primary dispatchable power source for data center operations, making midstream infrastructure more valuable rather than threatened. AI Opportunity (0/1): No AI-related revenue. Operational data could support future AI-driven predictive maintenance, but no AI products or services currently generate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Antero Midstream Q1 2026 Financial and Operating Results — Revenue $314M, Adjusted EBITDA $288M, HG Energy Acquisition Completion, Press Release April 2026</w:t>
      </w:r>
    </w:p>
    <w:p>
      <w:pPr>
        <w:spacing w:before="20" w:after="20"/>
        <w:ind w:left="170"/>
      </w:pPr>
      <w:r>
        <w:rPr>
          <w:rFonts w:ascii="Calibri" w:hAnsi="Calibri"/>
          <w:b/>
          <w:color w:val="4A6B25"/>
          <w:sz w:val="15"/>
        </w:rPr>
        <w:t xml:space="preserve">2. </w:t>
      </w:r>
      <w:r>
        <w:rPr>
          <w:rFonts w:ascii="Calibri" w:hAnsi="Calibri"/>
          <w:b w:val="0"/>
          <w:color w:val="3A4A28"/>
          <w:sz w:val="17"/>
        </w:rPr>
        <w:t>Antero Midstream Q2 2026 Financial and Operating Results — Revenue $327M, Record Adjusted EBITDA $289M, $371M Veolia Settlement, Gathering +19% YoY, PRNewswire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Antero Midstream Leadership and CEO Transition — Michael Kennedy Appointed CEO August 2025, Glassdoor 3.3/5, AI Strategy Gap, Simply Wall St/Comparably,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Antero Midstream ESG Profile — Zero Controversy Level, ESG Metrics in Executive Compensation, Water Pipeline System, Yahoo Finance/Company Website,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AM Key Statistics: Forward P/E 16.95, ROE 19.82%, D/E 186%, Profit Margin 30.45%, Stock Price $22.46,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