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ANNX</w:t>
      </w:r>
      <w:r>
        <w:rPr>
          <w:rFonts w:ascii="Calibri" w:hAnsi="Calibri"/>
          <w:b/>
          <w:color w:val="1A2010"/>
          <w:sz w:val="40"/>
        </w:rPr>
        <w:t xml:space="preserve">  Annexon, Inc.</w:t>
      </w:r>
    </w:p>
    <w:p>
      <w:pPr>
        <w:spacing w:after="120"/>
      </w:pPr>
      <w:r>
        <w:rPr>
          <w:rFonts w:ascii="Calibri" w:hAnsi="Calibri"/>
          <w:b/>
          <w:color w:val="6E8450"/>
          <w:sz w:val="18"/>
        </w:rPr>
        <w:t>GROWTH SLEEVE · 2026-09-04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Annexon, Inc. is a clinical-stage biopharmaceutical company developing novel therapies targeting classical complement-mediated disorders of the body, brain, and eye. The only company solely focused on targeting C1q, Annexon's pipeline spans three therapeutic areas: autoimmunity (Guillain-Barre syndrome via tanruprubart), ophthalmology (geographic atrophy via vonaprument), and a first-in-kind oral C1 inhibitor (ANX1502). Tanruprubart BLA submission targeted Q4 2026. Cash and investments of $209.2M plus $200M credit facility from Oxford Finance fund operations into 2028. Market cap approximately $920M.</w:t>
      </w:r>
    </w:p>
    <w:p>
      <w:r>
        <w:rPr>
          <w:rFonts w:ascii="Calibri" w:hAnsi="Calibri"/>
          <w:b/>
          <w:color w:val="6E8450"/>
          <w:sz w:val="18"/>
        </w:rPr>
        <w:t>110 Employees · https://annexonbio.com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Annexon has advanced multiple clinical programs with significant regulatory milestones: tanruprubart MAA filed with EMA for GBS, BLA submission with combined US/European FORWARD study data targeted Q4 2026, and vonaprument Phase 3 ARCHER II on track for Month 15 readout Q4 2026 [1][2]. Early FORWARD data in first ten US/European GBS patients showed consistency with Phase 3 and real-world evidence [2]. For a 110-person company executing across three therapeutic areas simultaneously, this represents strong clinical execution. AI Deployment (0/2): No evidence of AI-powered drug discovery, AI products, or quantified AI-driven operational improvements. Drug development conducted through traditional wet lab and clinical trial approaches. Market Share (1/2): Annexon is the only company solely focused on targeting C1q to develop therapeutics for complement-mediated diseases, creating a differentiated niche [3]. However, the company has no approved products and therefore no actual market share. Product Pipeline (2/2): Robust three-program pipeline with specific Q4 2026 milestones: tanruprubart BLA submission for GBS (first targeted fast-acting therapy for an acute paralysis disorder), vonaprument ARCHER II Month 15 readout for GA with dual primary endpoint strategy, and ANX1502 (first-in-kind oral C1 inhibitor) proof-of-concept for cold agglutinin disease in Fall 2026 [2]. R&amp;D Intensity (1/1): R&amp;D spending of $46.6M in Q2 2026 alone (~$187M annualized) for a pre-revenue company represents maximum R&amp;D intensity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Annexon's purpose of developing medicines for people with serious complement-mediated diseases is clear, patient-focused, and specific to C1q biology [3]. The exclusive focus on C1q targeting — maintained despite the appeal of diversifying — demonstrates genuine scientific conviction. However, the mission is functionally similar to many clinical-stage biotechs and has not been validated by commercial execution or multi-decade consistency. Community Impact (0/2): As a 110-person clinical-stage company burning ~$55M quarterly, Annexon has limited resources for community investment. No charitable foundation or distinctive community programs identified. Employee Retention (1/2): CEO Douglas Love describes a culture of 'casual intensity' with open, direct, and respectful communication [3]. Small team with dedicated Chief Innovation Officer (Ted Yednock) and collaborative leadership structure. No specific turnover data available. Insider Buying (0/2): No evidence of meaningful net insider buying by CEO Douglas Love or other executives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on available metrics. As a pre-revenue clinical-stage biotech, most financial metrics are structurally weak: ROE of -105.26% reflects $202.7M trailing twelve-month net loss on a small equity base, and there is no revenue from which to derive growth, margin, or valuation metrics [4]. The sole bright spot is D/E of 13%, reflecting a conservative balance sheet with $209.2M cash against $24.7M debt, plus the recently secured $200M Oxford Finance credit facility ($50M drawn at closing) extending runway into 2028 [2]. Only D/E and ROE were available for mechanical scoring; all other metrics excluded as unavailable. Liquidity floor cleared: ~2.4M shares x $4.84 = ~$11.8M daily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Annexon operates with genuine scientific purpose — the exclusive focus on C1q-mediated diseases reflects conviction in a differentiated approach maintained through clinical-stage challenges. The small, collaborative culture and patient-focused language suggest infinite game thinking at the leadership level. However, the company is too young to have had its Just Cause tested through crisis or demonstrated existential flexibility. Clinical-stage biotechs inherently play a long game, but whether purpose survives commercialization pressure remains untested.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Annexon's focus on developing treatments for serious complement-mediated diseases — GBS (acute paralysis with no targeted therapy), geographic atrophy (progressive vision loss), and autoimmune conditions — connects the company's work to reducing human suffering in underserved patient populations [3]. The exclusive C1q targeting focus, maintained despite the appeal of diversifying into commercially obvious targets, suggests genuine scientific conviction. The FORWARD study treating real GBS patients and early improvement data reinforce the patient-centered mission [2]. However, the cause has not been validated by decades of consistent execution or tested through major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Small organization (~110 employees) with CEO Douglas Love describing a culture of 'casual intensity' — open, direct, and respectful communication [3]. Dedicated Chief Innovation Officer (Ted Yednock) and collaborative leadership structure. Leadership stability since founding provides organizational consistency. Board strengthened with Mark Blumenkranz appointment [2]. Limited specific employee satisfaction or turnover data due to small company size, but the emphasis on DEIB suggests cultural intentionality.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Annexon competes in the complement pathway space alongside Apellis Pharmaceuticals (Syfovre for GA) and AstraZeneca/Alexion (C5 inhibitors). The company's competitive positioning focuses on differentiation through upstream C1q targeting rather than defeating competitors — acknowledging that rivals have validated the complement space while arguing their approach offers superior biology at the initiation point of the classical pathway [3]. This improvement-oriented framing, rather than market share warfare, reflects the infinite competitive mindset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Annexon has maintained its exclusive focus on C1q targeting since inception, expanding across therapeutic areas (autoimmunity, ophthalmology, autoimmune oral) but never fundamentally pivoting its scientific platform or business model [3]. The single-platform approach provides scientific depth but means the company has not yet faced the test of needing to abandon a core approach. Too young and focused for this dimension to be meaningfully tested.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Annexon maintains heavy R&amp;D investment (~$187M annualized) with zero revenue, pursuing three simultaneous clinical programs across different therapeutic areas [2]. The company secured a $200M credit facility from Oxford Finance to extend runway into 2028 rather than retreating to a single program — showing willingness to maintain breadth of investment despite cash constraints. CEO Douglas Love has led since 2014 through multiple setbacks including the ARCHER Phase 2 reframing. However, this is fundamentally the business model of clinical-stage biotechs rather than a uniquely courageous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Annexon offers high-risk, high-reward exposure to complement biology drug development with three de-risking catalysts converging in Q4 2026: tanruprubart BLA submission for GBS (potential first targeted fast-acting therapy for an acute paralysis disorder with ~150,000 annual cases globally), vonaprument ARCHER II Month 15 readout for geographic atrophy with a dual primary endpoint strategy (Month 15 or Month 24 can demonstrate success independently), and ANX1502 proof-of-concept for cold agglutinin disease as the first-in-kind oral C1 inhibitor [2]. Early FORWARD data in the first ten US/European GBS patients showed improvements in strength and disability reduction consistent with prior Phase 3 and real-world evidence, reinforcing BLA readiness [2]. Analyst consensus is Buy with $15.29 average target (216% upside from $4.84), and the financial position has strengthened: $209.2M cash plus $200M Oxford Finance credit facility extends runway into 2028, providing cushion through all near-term catalysts [2][4].</w:t>
      </w:r>
    </w:p>
    <w:p>
      <w:pPr>
        <w:spacing w:after="120"/>
      </w:pPr>
      <w:r>
        <w:rPr>
          <w:rFonts w:ascii="Calibri" w:hAnsi="Calibri"/>
          <w:b w:val="0"/>
          <w:color w:val="3A4A28"/>
          <w:sz w:val="20"/>
        </w:rPr>
        <w:t>The bear case is binary clinical risk inherent in a pre-revenue biotech burning ~$55M quarterly. Q2 2026 net loss was $55.3M ($0.28 per share) with ROE of -105.26%, and while runway extends into 2028 with the credit facility, additional dilutive capital raises remain likely given ~$193M annual cash burn [2][4]. Short interest of 17.19% signals meaningful market skepticism. The vonaprument ARCHER II dual primary endpoint amendment — adding Month 24 while maintaining Month 15 — could be interpreted as hedging against a Month 15 miss, introducing uncertainty about the geographic atrophy program's near-term readout [2]. Average daily volume has declined from ~4.7M to ~2.4M shares, reducing liquidity for institutional investors. Apellis' Syfovre is already approved for GA, giving it a competitive head start in the ophthalmology market. The stock has declined 14% from $5.62 to $4.84 since July despite strengthened runway, suggesting the market is pricing in trial risk. The Inspire Impact Score of 37 (ALIGNED) is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Tanruprubart BLA submission Q4 2026 with combined US/European FORWARD data for GBS — potential first targeted therapy for acute paralysis, with early data in 10 patients showing consistent improvement in strength and disability reduction [2]</w:t>
      </w:r>
    </w:p>
    <w:p>
      <w:pPr>
        <w:spacing w:before="40" w:after="40"/>
        <w:ind w:left="283"/>
      </w:pPr>
      <w:r>
        <w:rPr>
          <w:rFonts w:ascii="Calibri" w:hAnsi="Calibri"/>
          <w:b/>
          <w:color w:val="4A6B25"/>
          <w:sz w:val="20"/>
        </w:rPr>
        <w:t xml:space="preserve">2. </w:t>
      </w:r>
      <w:r>
        <w:rPr>
          <w:rFonts w:ascii="Calibri" w:hAnsi="Calibri"/>
          <w:b w:val="0"/>
          <w:color w:val="3A4A28"/>
          <w:sz w:val="20"/>
        </w:rPr>
        <w:t>Vonaprument ARCHER II Month 15 readout Q4 2026 for geographic atrophy — dual primary endpoint (Month 15 or Month 24) provides two independent shots at demonstrating vision protection in a multi-billion dollar market [2]</w:t>
      </w:r>
    </w:p>
    <w:p>
      <w:pPr>
        <w:spacing w:before="40" w:after="40"/>
        <w:ind w:left="283"/>
      </w:pPr>
      <w:r>
        <w:rPr>
          <w:rFonts w:ascii="Calibri" w:hAnsi="Calibri"/>
          <w:b/>
          <w:color w:val="4A6B25"/>
          <w:sz w:val="20"/>
        </w:rPr>
        <w:t xml:space="preserve">3. </w:t>
      </w:r>
      <w:r>
        <w:rPr>
          <w:rFonts w:ascii="Calibri" w:hAnsi="Calibri"/>
          <w:b w:val="0"/>
          <w:color w:val="3A4A28"/>
          <w:sz w:val="20"/>
        </w:rPr>
        <w:t>ANX1502 proof-of-concept data Fall 2026 for cold agglutinin disease — first-in-kind oral C1 inhibitor that could open an entirely new treatment modality for autoimmune diseases if successful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company burning $55.3M quarterly ($193M cash from operations annually) — even with $209.2M cash plus $200M credit facility, additional dilutive capital raises are likely beyond 2028, and 17.19% short interest reflects market skepticism [2][4]</w:t>
      </w:r>
    </w:p>
    <w:p>
      <w:pPr>
        <w:spacing w:before="40" w:after="40"/>
        <w:ind w:left="283"/>
      </w:pPr>
      <w:r>
        <w:rPr>
          <w:rFonts w:ascii="Calibri" w:hAnsi="Calibri"/>
          <w:b/>
          <w:color w:val="4A6B25"/>
          <w:sz w:val="20"/>
        </w:rPr>
        <w:t xml:space="preserve">2. </w:t>
      </w:r>
      <w:r>
        <w:rPr>
          <w:rFonts w:ascii="Calibri" w:hAnsi="Calibri"/>
          <w:b w:val="0"/>
          <w:color w:val="3A4A28"/>
          <w:sz w:val="20"/>
        </w:rPr>
        <w:t>Phase 3 clinical trial failure risk — negative data in GBS BLA submission or GA ARCHER II readout could devastate the $918M market cap, and the dual primary endpoint amendment for ARCHER II introduces uncertainty about Month 15 outcome confidence [2]</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Apellis (approved Syfovre for GA) and AstraZeneca/Alexion (C5 inhibitors) in the complement space, with larger companies possessing greater commercial infrastructure, regulatory resources, and financial flexibility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Clinical-stage drug development for neurological, autoimmune, and ophthalmic diseases requires physical wet lab research, multi-year clinical trials with actual patients, FDA/EMA regulatory approval processes, and complex biologics manufacturing — all structurally immune to AI substitution [3]. Complement biology is a specialized scientific domain where proprietary antibody engineering (C1q targeting), accumulated clinical data from FORWARD and ARCHER studies, and regulatory relationships create moats that AI cannot replicate. The BLA/MAA filing process requires physical evidence from human clinical trials that computational methods cannot replace. AI could theoretically accelerate competitor discovery of competing complement-targeted drugs, but Annexon's first-mover C1q data and regulatory position are proprietary advantages. AI Opportunity (0/1): Annexon generates no revenue from AI products or services. The company's development approach is traditional biological drug discovery and clinical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Annexon Q1 2026 Financial Results and Pipeline Progress — GlobeNewsWire, May 2026</w:t>
      </w:r>
    </w:p>
    <w:p>
      <w:pPr>
        <w:spacing w:before="20" w:after="20"/>
        <w:ind w:left="170"/>
      </w:pPr>
      <w:r>
        <w:rPr>
          <w:rFonts w:ascii="Calibri" w:hAnsi="Calibri"/>
          <w:b/>
          <w:color w:val="4A6B25"/>
          <w:sz w:val="15"/>
        </w:rPr>
        <w:t xml:space="preserve">2. </w:t>
      </w:r>
      <w:r>
        <w:rPr>
          <w:rFonts w:ascii="Calibri" w:hAnsi="Calibri"/>
          <w:b w:val="0"/>
          <w:color w:val="3A4A28"/>
          <w:sz w:val="17"/>
        </w:rPr>
        <w:t>Annexon Q2 2026 Financial Results — Net Loss $55.3M, Cash $209.2M, $200M Oxford Finance Credit Facility, BLA Q4 2026, ARCHER II Month 15 Q4 2026, ANX1502 Fall 2026, GlobeNewsWire, August 2026</w:t>
      </w:r>
    </w:p>
    <w:p>
      <w:pPr>
        <w:spacing w:before="20" w:after="20"/>
        <w:ind w:left="170"/>
      </w:pPr>
      <w:r>
        <w:rPr>
          <w:rFonts w:ascii="Calibri" w:hAnsi="Calibri"/>
          <w:b/>
          <w:color w:val="4A6B25"/>
          <w:sz w:val="15"/>
        </w:rPr>
        <w:t xml:space="preserve">3. </w:t>
      </w:r>
      <w:r>
        <w:rPr>
          <w:rFonts w:ascii="Calibri" w:hAnsi="Calibri"/>
          <w:b w:val="0"/>
          <w:color w:val="3A4A28"/>
          <w:sz w:val="17"/>
        </w:rPr>
        <w:t>Annexon Company Profile, Pipeline, Leadership — CEO Douglas Love, C1q Platform, Complement Biology Focus, annexonbio.com,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ANNX Key Statistics: Stock Price $4.84, Market Cap $918M, D/E 13%, ROE -105.26%, Cash $209M, Short Interest 17.19%,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