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AON</w:t>
      </w:r>
      <w:r>
        <w:rPr>
          <w:rFonts w:ascii="Calibri" w:hAnsi="Calibri"/>
          <w:b/>
          <w:color w:val="1A2010"/>
          <w:sz w:val="40"/>
        </w:rPr>
        <w:t xml:space="preserve">  Aon plc</w:t>
      </w:r>
    </w:p>
    <w:p>
      <w:pPr>
        <w:spacing w:after="120"/>
      </w:pPr>
      <w:r>
        <w:rPr>
          <w:rFonts w:ascii="Calibri" w:hAnsi="Calibri"/>
          <w:b/>
          <w:color w:val="6E8450"/>
          <w:sz w:val="18"/>
        </w:rPr>
        <w:t>GROWTH SLEEVE · 2026-09-20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Ireland</w:t>
      </w:r>
    </w:p>
    <w:p>
      <w:pPr>
        <w:spacing w:after="80"/>
      </w:pPr>
      <w:r>
        <w:rPr>
          <w:rFonts w:ascii="Calibri" w:hAnsi="Calibri"/>
          <w:b w:val="0"/>
          <w:color w:val="3A4A28"/>
          <w:sz w:val="20"/>
        </w:rPr>
        <w:t>Aon plc is a global professional services firm providing risk management, insurance brokerage, reinsurance, and human capital consulting. Operating through Risk Capital and Human Capital segments, the company serves clients in 120+ countries with commercial risk solutions, health and wealth advisory, and data analytics-driven decision tools. Aon completed the $13.4B acquisition of NFP in April 2024, significantly expanding into middle-market insurance brokerage. H1 2026 revenue grew 4% reported (5% organic) with Q1 net income up 26% YoY. CEO Greg Case has led the firm since 2005. Market cap is approximately $63B.</w:t>
      </w:r>
    </w:p>
    <w:p>
      <w:r>
        <w:rPr>
          <w:rFonts w:ascii="Calibri" w:hAnsi="Calibri"/>
          <w:b/>
          <w:color w:val="6E8450"/>
          <w:sz w:val="18"/>
        </w:rPr>
        <w:t>60,000 Employees · https://www.aon.com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Aon executed its largest-ever strategic transformation with the $13.4B NFP acquisition in April 2024, adding 7,700 employees and opening a substantial middle-market insurance brokerage channel [1]. H1 2026 revenue grew $396M (+4% reported, +5% organic), with Q1 revenue hitting $5.03B (+6%) and Q1 net income surging 26% to $1.21B [1]. Full-year 2025 revenue of $17.2B grew 9% with 6% organic growth for the second consecutive year. However, the core insurance brokerage model remains fundamentally unchanged. AI Deployment (2/2): Aon is shipping multiple AI-powered products — Broker Copilot applies advanced analytics to turn placement data into real-time market insights, Claims Copilot provides end-to-end AI-assisted claims handling, and an AI-powered supply chain risk consulting offering draws on 80,000+ sources across 200+ countries [2]. CEO Case describes Aon's $1.3B AI investment as the largest in professional services history, with an additional $1B in analytics and generative AI capabilities. Market Share (1/2): Aon is the #2 global insurance broker behind Marsh McLennan, with approximately $17.6B in trailing revenue and dominant positions in reinsurance and human capital consulting across 120+ countries [1]. Product Pipeline (1/2): Aon is investing in Contract AI, climate advisory tools, and expanded analytics through Better Decisions Labs, but specific next-generation product launches with named timelines beyond the current AI product suite are not publicly disclosed [2]. R&amp;D Intensity (1/1): Aon's $1.3B+ AI and analytics investment far exceeds industry peers for professional services firms, representing top-quartile technology spend relative to the insurance brokerage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Aon's stated purpose is to 'empower economic and human possibility for clients, colleagues and communities around the world.' The mission is clear and connects insurance brokerage to a broader societal vision of economic resilience, but it reads as aspirational corporate language rather than a deeply distinctive or transformative cause that differentiates from peers [2]. Community Impact (1/2): Aon maintains environmental commitments including net-zero GHG emissions targets and annual impact reporting [3]. The company has general corporate philanthropy programs, but no distinctive large-scale charitable programs with specific dollar amounts or measurable community impact were identified beyond standard ESG commitments. Employee Retention (1/2): CEO Greg Case's 21-year tenure (since 2005) provides exceptional leadership continuity. Case explicitly emphasizes that 'technology spend without parallel investment in people fails to compound,' suggesting retention is a strategic priority [2]. The 60,000-person workforce reflects stability. However, no specific voluntary turnover rates or average tenure data are publicly available. Insider Buying (0/2): No evidence of meaningful net insider buying by executives in the last 12 months. Standard 10b5-1 plan sales were observed.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Aon demonstrates exceptional profitability with ROE of 44.7% (well above the 15% target, scoring 1.0 at 2x weight) and profit margin of 22.3% (above 20% target, scoring 1.0) [4]. Forward P/E of 14.6x is attractively valued well below the 20x target, scoring full marks. Estimated 5-year revenue CAGR of ~8% (boosted by NFP acquisition) scores 0.87 against the 10% target at 2x weight. Revenue growth YoY of 2.2% reported (5% organic) scores 0.74 against the 10% target, reflecting post-acquisition FX headwinds [1]. D/E of 163.5% is elevated from NFP financing, scoring 0.59 against the 70% target. The primary drag is the PEG ratio of 2.32x, scoring 0.34 against the 1.0x target with 2x weight, reflecting modest earnings growth relative to the reasonable valuation. Free cash flow of $3.2B supports ongoing debt reduction. Liquidity floor easily cleared at ~$456M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Aon under Greg Case's 21-year leadership has built a durable professional services franchise with meaningful strategic continuity, but the company's competitive posture and mission language lean more toward market positioning than a deeply inspiring Just Cause. The NFP acquisition demonstrates strategic flexibility, and Case's unprecedented tenure provides stability, but Aon's culture is more execution-focused than purpose-driven — a competent long-horizon player without the transformative vision Sinek reserves for the highest scores.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Aon's purpose of 'empowering economic and human possibility' connects the company's work to a broader vision of global economic resilience, and CEO Case's 21-year leadership provides rare mission continuity [2]. However, the cause reads as professional services marketing rather than a Just Cause that inspires sacrifice. Strategic decisions can be traced to growth and market positioning rather than a purpose-driven imperative. The cause has not been tested through existential crisis in a way that would validate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Case's 21-year tenure provides exceptional leadership continuity, and the company emphasizes colleague wellbeing programs including physical and mental health support, professional development, and smart working strategies [2][3]. The post-NFP integration absorbed 7,700 additional employees without reported cultural disruption. Case explicitly prioritizes investing in people alongside technology. However, no specific evidence of exceptional trust, empowerment, or low voluntary turnover was identified — the organization appears stable and well-managed without being culturally distinctive.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Aon's competitive posture acknowledges Marsh McLennan as the larger industry leader and frames competition as motivation to improve capabilities rather than a zero-sum war. The pivot from the failed $30B Willis merger to the $13.4B NFP acquisition demonstrated strategic humility — rather than fighting regulators, Aon pursued a different path to achieve its growth objectives [1]. Management commentary focuses on enhancing analytics, AI tools, and client service capabilities rather than attacking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Aon has evolved from traditional insurance brokerage to a data-driven professional services platform through $1.3B+ in AI investment, the $13.4B NFP acquisition, and expansion into human capital and wealth advisory [1][2]. The pivot from the failed Willis merger to the NFP acquisition demonstrated strategic resilience and adaptability. However, the core insurance brokerage business remains the foundation — these are evolutionary additions and adjacent-market expansions, not a fundamental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$13.4B NFP acquisition was a bold capital allocation decision that levered the balance sheet (D/E to 163%) to expand into middle-market brokerage — a long-term bet on building capabilities at the cost of near-term financial flexibility [1]. Walking away from the $30B Willis merger when regulators demanded excessive concessions, rather than compromising, shows principled decision-making. The $1.3B AI investment with explicit commitment to enhancing rather than replacing employees is a long-term bet. However, no clear example of sacrificing profitable but misaligned businesses purely in service of a Just Cause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Aon at 14.6x forward earnings offers compelling value for a global #2 insurance broker generating $3.2B in free cash flow with 5% organic revenue growth and expanding margins. H1 2026 revenue grew 4% reported with Q1 net income surging 26% to $1.21B, while full-year guidance was reaffirmed for mid-single-digit organic growth with 70-80 bps margin expansion [1]. The $13.4B NFP acquisition transforms Aon's addressable market by adding a middle-market brokerage channel, and AI-powered products (Broker Copilot, Claims Copilot) backed by $1.3B+ investment create differentiated client offerings that deepen relationships [2]. ROE of 44.7% and profit margin of 22.3% demonstrate capital-efficient operations in an asset-light model. Greg Case's 21-year tenure provides strategic consistency rare in professional services.</w:t>
      </w:r>
    </w:p>
    <w:p>
      <w:pPr>
        <w:spacing w:after="120"/>
      </w:pPr>
      <w:r>
        <w:rPr>
          <w:rFonts w:ascii="Calibri" w:hAnsi="Calibri"/>
          <w:b w:val="0"/>
          <w:color w:val="3A4A28"/>
          <w:sz w:val="20"/>
        </w:rPr>
        <w:t>The bear case centers on leverage, organic growth limitations, and integration risk. D/E of 163.5% reflects $15.9B in total debt from NFP financing against only $1.1B cash, limiting financial flexibility and increasing sensitivity to interest rate movements [4]. Reported revenue growth of just 2.2% YoY (vs. 5% organic) masks FX headwinds and confirms that the organic growth engine is mid-single digits at best — far below the 10%+ that would reclassify this as a growth compounder. The PEG ratio of 2.32x suggests the market sees limited earnings acceleration. NFP integration is still early, and large professional services acquisitions carry meaningful execution risk around client retention, talent retention, and culture integration — the precedent of the failed $30B Willis merger highlights M&amp;A uncertainty. Insurance brokerage revenue is cyclical and correlated with premium rates — a soft insurance market could compress organic growth below guidance. The Inspire Impact Score of -49 (MISALIGNED) may limit allocation for faith-based investors despite strong ESG practices across 14 positive attribution categories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NFP integration synergies ramping with mid-market cross-selling expanding the addressable market for Aon's data analytics and risk advisory platform, while $662M returned to shareholders through dividends and buybacks in Q1 2026 alone [1]</w:t>
      </w:r>
    </w:p>
    <w:p>
      <w:pPr>
        <w:spacing w:before="40" w:after="40"/>
        <w:ind w:left="283"/>
      </w:pPr>
      <w:r>
        <w:rPr>
          <w:rFonts w:ascii="Calibri" w:hAnsi="Calibri"/>
          <w:b/>
          <w:color w:val="4A6B25"/>
          <w:sz w:val="20"/>
        </w:rPr>
        <w:t xml:space="preserve">2. </w:t>
      </w:r>
      <w:r>
        <w:rPr>
          <w:rFonts w:ascii="Calibri" w:hAnsi="Calibri"/>
          <w:b w:val="0"/>
          <w:color w:val="3A4A28"/>
          <w:sz w:val="20"/>
        </w:rPr>
        <w:t>AI product monetization through Broker Copilot, Claims Copilot, and supply chain risk analytics backed by $1.3B+ investment creating higher-margin advisory revenue streams that differentiate Aon from traditional brokerage competitors [2]</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for mid-single-digit organic growth with 70-80 bps margin expansion and double-digit FCF growth, with Q2 confirming sustained 5% organic growth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at 163.5% D/E with $15.9B total debt against $1.1B cash constrains capital allocation flexibility and increases earnings sensitivity to rising interest rates and refinancing costs [4]</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ceiling of mid-single digits reflects the mature nature of commercial insurance brokerage — reported 2.2% YoY growth underscores vulnerability to FX headwinds and cyclical softening in insurance markets [1]</w:t>
      </w:r>
    </w:p>
    <w:p>
      <w:pPr>
        <w:spacing w:before="40" w:after="40"/>
        <w:ind w:left="283"/>
      </w:pPr>
      <w:r>
        <w:rPr>
          <w:rFonts w:ascii="Calibri" w:hAnsi="Calibri"/>
          <w:b/>
          <w:color w:val="4A6B25"/>
          <w:sz w:val="20"/>
        </w:rPr>
        <w:t xml:space="preserve">3. </w:t>
      </w:r>
      <w:r>
        <w:rPr>
          <w:rFonts w:ascii="Calibri" w:hAnsi="Calibri"/>
          <w:b w:val="0"/>
          <w:color w:val="3A4A28"/>
          <w:sz w:val="20"/>
        </w:rPr>
        <w:t>NFP integration execution risk — absorbing 7,700 employees and a fragmented middle-market brokerage platform while maintaining client retention and cultural cohesion across the combined 60,000-person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brokerage is a relationship-driven, regulatory-intensive business where AI cannot replace the core advisory function. Complex commercial risk placement requires deep client relationships, industry expertise, and regulatory compliance across 120+ jurisdictions — structural moats that AI tools cannot easily replicate [1]. Aon's proprietary data assets (decades of risk and claims data across thousands of clients) create defensible competitive advantages that grow more valuable with AI augmentation. However, commoditized personal lines and standardized placement activities face some automation pressure from insurtech platforms. Analysts do not cite AI as a significant displacement risk for Aon's complex commercial risk, reinsurance, and human capital consulting segments [2]. AI Opportunity (1/1): Aon generates meaningful AI-embedded revenue through Broker Copilot, Claims Copilot, and AI-powered supply chain risk consulting products shipping to clients. The $1.3B AI investment — described as the largest in professional services history — plus $1B in analytics and generative AI create differentiated advisory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Aon plc Q1 2026 and Q2 2026 Earnings Releases — Revenue $5.03B Q1 (+6%, +5% organic), H1 revenue +4% reported (+5% organic), Q1 net income $1.21B (+26%), Adjusted EPS $3.81 Q2 (+9% YoY), full-year guidance reaffirmed mid-single-digit organic growth with 70-80bps margin expansion — SEC filings and TIKR.com, 2026</w:t>
      </w:r>
    </w:p>
    <w:p>
      <w:pPr>
        <w:spacing w:before="20" w:after="20"/>
        <w:ind w:left="170"/>
      </w:pPr>
      <w:r>
        <w:rPr>
          <w:rFonts w:ascii="Calibri" w:hAnsi="Calibri"/>
          <w:b/>
          <w:color w:val="4A6B25"/>
          <w:sz w:val="15"/>
        </w:rPr>
        <w:t xml:space="preserve">2. </w:t>
      </w:r>
      <w:r>
        <w:rPr>
          <w:rFonts w:ascii="Calibri" w:hAnsi="Calibri"/>
          <w:b w:val="0"/>
          <w:color w:val="3A4A28"/>
          <w:sz w:val="17"/>
        </w:rPr>
        <w:t>Aon AI and Innovation Strategy — $1.3B AI investment (largest in professional services), Broker Copilot, Claims Copilot, AI-powered supply chain risk consulting (80,000+ sources, 200+ countries), Contract AI, Better Decisions Labs — Aon corporate website and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Aon ESG Profile — Low controversy level per Sustainalytics (August 2025), net-zero GHG emissions commitments, colleague wellbeing programs — Yahoo Finance ESG ratings and Aon environmental policy disclosures</w:t>
      </w:r>
    </w:p>
    <w:p>
      <w:pPr>
        <w:spacing w:before="20" w:after="20"/>
        <w:ind w:left="170"/>
      </w:pPr>
      <w:r>
        <w:rPr>
          <w:rFonts w:ascii="Calibri" w:hAnsi="Calibri"/>
          <w:b/>
          <w:color w:val="4A6B25"/>
          <w:sz w:val="15"/>
        </w:rPr>
        <w:t xml:space="preserve">4. </w:t>
      </w:r>
      <w:r>
        <w:rPr>
          <w:rFonts w:ascii="Calibri" w:hAnsi="Calibri"/>
          <w:b w:val="0"/>
          <w:color w:val="3A4A28"/>
          <w:sz w:val="17"/>
        </w:rPr>
        <w:t>Yahoo Finance — AON Key Statistics: Forward P/E 14.58x, PEG 2.32, ROE 44.7%, D/E 163.48%, Profit Margin 22.27%, Stock Price $295.64, Avg Volume 1.54M,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