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APD</w:t>
      </w:r>
      <w:r>
        <w:rPr>
          <w:rFonts w:ascii="Calibri" w:hAnsi="Calibri"/>
          <w:b/>
          <w:color w:val="1A2010"/>
          <w:sz w:val="40"/>
        </w:rPr>
        <w:t xml:space="preserve">  Air Products and Chemicals, Inc.</w:t>
      </w:r>
    </w:p>
    <w:p>
      <w:pPr>
        <w:spacing w:after="120"/>
      </w:pPr>
      <w:r>
        <w:rPr>
          <w:rFonts w:ascii="Calibri" w:hAnsi="Calibri"/>
          <w:b/>
          <w:color w:val="6E8450"/>
          <w:sz w:val="18"/>
        </w:rPr>
        <w:t>DIVIDEND SLEEVE · 2026-09-19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Air Products and Chemicals is the world's largest supplier of hydrogen and a leading global industrial gases company, providing atmospheric gases (oxygen, nitrogen, argon), process gases (hydrogen, helium, carbon dioxide), and specialty gases. Under CEO Eduardo Menezes (appointed February 2025 after activist involvement by Mantle Ridge and D.E. Shaw), the company is refocusing on financial returns while completing the NEOM green hydrogen mega-project and has exited the Louisiana Clean Energy Complex. Q3 FY2026 adjusted EPS of $3.47 beat consensus, with full-year guidance raised to $13.39-$13.49 (+11-12% growth).</w:t>
      </w:r>
    </w:p>
    <w:p>
      <w:r>
        <w:rPr>
          <w:rFonts w:ascii="Calibri" w:hAnsi="Calibri"/>
          <w:b/>
          <w:color w:val="6E8450"/>
          <w:sz w:val="18"/>
        </w:rPr>
        <w:t>21,087 Employees · https://www.airproducts.com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Air Products has executed a strategic transformation toward becoming the world's leading clean hydrogen producer, with the NEOM green hydrogen mega-project now &gt;90% complete and targeting commercial production in 2027 with up to 1.2M tpy renewable ammonia [1][2]. The disciplined exit from the Louisiana Clean Energy Complex (LCEC) — accepting a $2.9B charge to walk away from a project that didn't meet return thresholds — demonstrates financial rigor under CEO Menezes. AI Deployment (0/2): No evidence of AI-powered products shipping to customers or quantified AI-driven internal cost savings. APD's business is fundamentally physical infrastructure with limited AI application surface area. Market Share (2/2): Air Products operates in a global oligopoly with Air Liquide and Linde, holding the world's largest hydrogen supplier position. NASA liquid hydrogen supply contracts ($140M+) and Baker Hughes hydrogen compression partnership underscore dominant market positioning [1]. Product Pipeline (1/2): NEOM green hydrogen targeting 2027 production with Yara marketing agreement for renewable ammonia, hydrogen-capable boiler burner technology, and portable hydrogen fueler — but the LCEC exit reduces pipeline scope [1][2]. R&amp;D Intensity (0/1): R&amp;D spending is approximately 1% of revenue, below the specialty chemicals industry average of 3-5%, reflecting a business model focused on infrastructure deployment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Air Products' purpose — 'to bring people together to reimagine what's possible, collaborate and innovate solutions to the world's most significant energy and environmental sustainability challenges' — is specific, thoughtful, and validated by billions in clean hydrogen investment [4]. The purpose clearly shapes capital allocation decisions. Community Impact (1/2): MSCI 'A' ESG rating, ISS ESG Prime status, and seven consecutive years on Barron's 100 Most Sustainable Companies validate the sustainability strategy [5]. Over 50% of revenue comes from sustainable offerings. However, specific community investment dollar amounts are not prominently disclosed. Employee Retention (1/2): Glassdoor rating of 3.9/5 with 72% recommending to a friend, and Comparably rates the Executive Team in the Top 20% of companies with 10,000+ employees [3]. However, the CEO transition created cultural disruption — Glassdoor reviews describe the change as having 'ripped the heart out of the company,' and only 51% have a positive business outlook. Insider Buying (0/2): No evidence of meaningful net insider buying by executives in the last 12 months. Mantle Ridge board presence provides structural alignment through activist shareholder oversight, but net insider selling persists at the executive level.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formula. Q3 FY2026 adjusted EPS of $3.47 beat consensus of $3.33, with operating margin widening to 25.6% and full-year guidance raised to $13.39-$13.49 (+11-12% growth) [1]. GAAP trailing results remain distorted by impairment charges including the $2.9B LCEC exit, producing a negative trailing EPS of -$0.20 and near-zero GAAP ROE of 0.02% and negative profit margin of -0.38% [2]. Forward P/E of 19.68x is attractive, just below the 20x target. D/E of 110% is elevated but improved from prior periods and manageable given $4.6B annual operating cash flow and long-term take-or-pay contract structure. Revenue growth of 4.6% YoY is modest. The 42-year dividend growth streak is exceptional — the 2× weighting on consecutive years paid and 5yr dividend growth CAGR (~4.4%) drives the Infrastructure score despite GAAP profitability headwinds. Payout ratio of 75.66% is elevated but covered by adjusted earnings. Liquidity clears the floor at ~$340M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Air Products demonstrates strong infinite game characteristics through its 85-year history, 42 consecutive years of dividend increases, and multi-decade bet on clean hydrogen that sacrifices near-term free cash flow for long-term energy transition positioning [1][2]. The NEOM project commitment through completion despite activist pressure reflects genuine long-term thinking. However, the activist-driven CEO change, LCEC exit, and refocus on near-term return metrics under Menezes introduce finite game pressures that temper the infinite 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Air Products' purpose — reimagining solutions to the world's energy and sustainability challenges — is genuine and validated by billions in clean hydrogen investment, including the NEOM green hydrogen mega-project now &gt;90% complete [1][2]. The company has bet its future on enabling the energy transition. However, the LCEC exit and increased emphasis on return thresholds under activist influence create tension between the long-term cause and near-term financial optimization. The purpose has been tested by the activist board battle but survived — Menezes is completing NEOM while applying return discipline.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Air Products maintains 21,000+ employees with generally stable organizational structure. Comparably rates the Executive Team in the Top 20% of companies with 10,000+ employees, and Glassdoor shows 72% recommending the company [3]. However, the CEO transition from Ghasemi to Menezes after activist involvement disrupted company culture — Glassdoor reviews describe the change as having 'ripped the heart out of the company,' and only 51% have a positive business outlook.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Air Products operates in a disciplined global oligopoly with Air Liquide and Linde, where the three companies respect each other's regional strengths and compete on technology, efficiency, and customer service rather than destructive pricing [1]. The hydrogen race with competitors drives innovation in clean energy without zero-sum competitive rhetoric.</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Air Products has evolved from a pure industrial gas supplier to a clean energy company, making multi-billion dollar bets on hydrogen production, carbon capture, and ammonia [1]. The disciplined exit from LCEC while maintaining NEOM shows strategic flexibility — willingness to kill projects that don't work while staying committed to the broader clean hydrogen vision [2]. These are meaningful strategic adaptations but incremental extensions of the core industrial gas business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Air Products has invested billions in clean hydrogen projects despite deeply negative free cash flow, accepting near-term financial pain for long-term strategic positioning [1]. The decision to complete NEOM through commercial production rather than cutting it like LCEC shows selective courage. The LCEC exit itself — accepting a $2.9B charge to walk away from sunk costs — demonstrates financial discipline [2]. However, the leadership change was externally imposed by activist investors rather than internally generated, reducing the courage attribution.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Air Products at 19.68x forward earnings is an attractively valued Dividend Aristocrat with 42 consecutive years of dividend increases and transformative clean hydrogen optionality. Q3 FY2026 adjusted EPS of $3.47 beat the $3.33 consensus, operating margin widened to 25.6%, and full-year guidance was raised to $13.39-$13.49 (+11-12% growth) [1]. The 2.55% dividend yield and $4.6B annual operating cash flow provide income stability, while the NEOM green hydrogen project (&gt;90% complete, 2027 commercial production with 1.2M tpy renewable ammonia and Yara marketing agreement) positions APD for multi-decade upside as global hydrogen demand accelerates [2]. The industrial gas oligopoly provides pricing power and structural defensibility, with Q3 showing volume recovery and productivity gains driving margin expansion.</w:t>
      </w:r>
    </w:p>
    <w:p>
      <w:pPr>
        <w:spacing w:after="120"/>
      </w:pPr>
      <w:r>
        <w:rPr>
          <w:rFonts w:ascii="Calibri" w:hAnsi="Calibri"/>
          <w:b w:val="0"/>
          <w:color w:val="3A4A28"/>
          <w:sz w:val="20"/>
        </w:rPr>
        <w:t>The bear case centers on GAAP profitability distortion, balance sheet stretch, and strategic uncertainty. Trailing EPS of -$0.20 reflects massive impairment charges including the $2.9B LCEC exit, producing near-zero GAAP ROE (0.02%) and negative profit margin (-0.38%) [1][2]. D/E of 110% and negative free cash flow (-$1.5B) constrain financial flexibility while the company funds $3.5B+ in annual capex. Revenue growth of 4.6% YoY and a declining 4-year revenue trajectory ($12.7B FY2022 to $12.0B FY2025) suggest the core industrial gas business is ex-growth. The payout ratio of 75.66% on GAAP earnings is unsustainable without adjusted earnings normalization. The activist-driven CEO transition from Ghasemi to Menezes introduces strategic uncertainty — Glassdoor reviews cite cultural disruption (51% positive business outlook), and the tension between long-duration hydrogen investments and near-term return discipline remains unresolved [3]. The Inspire Impact Score of -49 (MISALIGNED) limits allocation for faith-based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NEOM green hydrogen project &gt;90% complete with commercial production targeted for 2027, including Yara marketing agreement for up to 1.2M tpy renewable ammonia — the world's first commercial-scale green hydrogen facility [1][2]</w:t>
      </w:r>
    </w:p>
    <w:p>
      <w:pPr>
        <w:spacing w:before="40" w:after="40"/>
        <w:ind w:left="283"/>
      </w:pPr>
      <w:r>
        <w:rPr>
          <w:rFonts w:ascii="Calibri" w:hAnsi="Calibri"/>
          <w:b/>
          <w:color w:val="4A6B25"/>
          <w:sz w:val="20"/>
        </w:rPr>
        <w:t xml:space="preserve">2. </w:t>
      </w:r>
      <w:r>
        <w:rPr>
          <w:rFonts w:ascii="Calibri" w:hAnsi="Calibri"/>
          <w:b w:val="0"/>
          <w:color w:val="3A4A28"/>
          <w:sz w:val="20"/>
        </w:rPr>
        <w:t>Full-year FY2026 adjusted EPS guidance raised to $13.39-$13.49 (+11-12% growth), with Q4 guidance of $3.55-$3.65 implying continued margin expansion from volume recovery and pricing power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driving increased demand for ultra-pure nitrogen and specialty gases for semiconductor manufacturing, plus potential long-term hydrogen demand for data center power and cooling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severely impaired by LCEC exit charge ($2.9B) and hydrogen project write-downs, with D/E of 110% and negative free cash flow (-$1.5B) limiting balance sheet flexibility if adjusted earnings disappoint [1][2]</w:t>
      </w:r>
    </w:p>
    <w:p>
      <w:pPr>
        <w:spacing w:before="40" w:after="40"/>
        <w:ind w:left="283"/>
      </w:pPr>
      <w:r>
        <w:rPr>
          <w:rFonts w:ascii="Calibri" w:hAnsi="Calibri"/>
          <w:b/>
          <w:color w:val="4A6B25"/>
          <w:sz w:val="20"/>
        </w:rPr>
        <w:t xml:space="preserve">2. </w:t>
      </w:r>
      <w:r>
        <w:rPr>
          <w:rFonts w:ascii="Calibri" w:hAnsi="Calibri"/>
          <w:b w:val="0"/>
          <w:color w:val="3A4A28"/>
          <w:sz w:val="20"/>
        </w:rPr>
        <w:t>NEOM commercial viability risk — green hydrogen economics must meet return thresholds at scale without ongoing subsidies, and any execution delay beyond 2027 extends the period of negative free cash flow and elevated leverage</w:t>
      </w:r>
    </w:p>
    <w:p>
      <w:pPr>
        <w:spacing w:before="40" w:after="40"/>
        <w:ind w:left="283"/>
      </w:pPr>
      <w:r>
        <w:rPr>
          <w:rFonts w:ascii="Calibri" w:hAnsi="Calibri"/>
          <w:b/>
          <w:color w:val="4A6B25"/>
          <w:sz w:val="20"/>
        </w:rPr>
        <w:t xml:space="preserve">3. </w:t>
      </w:r>
      <w:r>
        <w:rPr>
          <w:rFonts w:ascii="Calibri" w:hAnsi="Calibri"/>
          <w:b w:val="0"/>
          <w:color w:val="3A4A28"/>
          <w:sz w:val="20"/>
        </w:rPr>
        <w:t>Cultural disruption from activist-driven CEO transition — Glassdoor reviews cite demoralization (51% positive business outlook), and tension between long-duration hydrogen investments and near-term return discipline remains unresolved under new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Air Products' core business — producing and delivering industrial gases through massive physical infrastructure including air separation units, cryogenic systems, pipelines, and on-site plants — is structurally immune to AI disruption [1]. Industrial gas production requires capital-intensive physical assets, decades of permitting, and pipeline networks that AI cannot replicate or substitute. The business operates under long-term take-or-pay contracts with essential industries (refining, chemicals, electronics, healthcare). AI data centers actually increase demand for Air Products' gases — semiconductor fabrication requires ultra-pure nitrogen and specialty gases, and the hyperscaler buildout drives electricity demand that could accelerate hydrogen adoption. The global oligopoly structure (APD/Air Liquide/Linde) provides additional protection from competitive disruption. AI Opportunity (0/1): APD does not generate quantifiable revenue from AI products or services. Clean hydrogen may eventually support AI data center power, but this revenue stream is speculative and not yet realized.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Air Products Q3 FY2026 Earnings — Adjusted EPS $3.47 (beat $3.33 consensus), Operating Margin 25.6%, Full-Year Guidance Raised to $13.39-$13.49 (+11-12% growth), July 2026</w:t>
      </w:r>
    </w:p>
    <w:p>
      <w:pPr>
        <w:spacing w:before="20" w:after="20"/>
        <w:ind w:left="170"/>
      </w:pPr>
      <w:r>
        <w:rPr>
          <w:rFonts w:ascii="Calibri" w:hAnsi="Calibri"/>
          <w:b/>
          <w:color w:val="4A6B25"/>
          <w:sz w:val="15"/>
        </w:rPr>
        <w:t xml:space="preserve">2. </w:t>
      </w:r>
      <w:r>
        <w:rPr>
          <w:rFonts w:ascii="Calibri" w:hAnsi="Calibri"/>
          <w:b w:val="0"/>
          <w:color w:val="3A4A28"/>
          <w:sz w:val="17"/>
        </w:rPr>
        <w:t>Air Products Strategic Updates — NEOM &gt;90% complete, LCEC exit with $2.9B charge, Baker Hughes hydrogen compression partnership, Yara ammonia marketing agreement, 2025-2026</w:t>
      </w:r>
    </w:p>
    <w:p>
      <w:pPr>
        <w:spacing w:before="20" w:after="20"/>
        <w:ind w:left="170"/>
      </w:pPr>
      <w:r>
        <w:rPr>
          <w:rFonts w:ascii="Calibri" w:hAnsi="Calibri"/>
          <w:b/>
          <w:color w:val="4A6B25"/>
          <w:sz w:val="15"/>
        </w:rPr>
        <w:t xml:space="preserve">3. </w:t>
      </w:r>
      <w:r>
        <w:rPr>
          <w:rFonts w:ascii="Calibri" w:hAnsi="Calibri"/>
          <w:b w:val="0"/>
          <w:color w:val="3A4A28"/>
          <w:sz w:val="17"/>
        </w:rPr>
        <w:t>Glassdoor (3.9/5, 72% recommend, 51% positive outlook), Comparably (Top 20% Executive Team), CEO transition commentary,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Air Products Purpose and Sustainability — mission statement, airproducts.com,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MSCI 'A' ESG Rating, ISS ESG Prime Status, Barron's 100 Most Sustainable (7th year), 50%+ Sustainable Revenue,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APD Key Statistics: Forward P/E 19.68x, D/E 110.09%, Dividend Yield 2.55%, Stock Price $284.18,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