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APGE</w:t>
      </w:r>
      <w:r>
        <w:rPr>
          <w:rFonts w:ascii="Calibri" w:hAnsi="Calibri"/>
          <w:b/>
          <w:color w:val="1A2010"/>
          <w:sz w:val="40"/>
        </w:rPr>
        <w:t xml:space="preserve">  Apogee Therapeutics, Inc.</w:t>
      </w:r>
    </w:p>
    <w:p>
      <w:pPr>
        <w:spacing w:after="120"/>
      </w:pPr>
      <w:r>
        <w:rPr>
          <w:rFonts w:ascii="Calibri" w:hAnsi="Calibri"/>
          <w:b/>
          <w:color w:val="6E8450"/>
          <w:sz w:val="18"/>
        </w:rPr>
        <w:t>GROWTH SLEEVE · 2026-09-30 · Inspire: 24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Apogee Therapeutics is a clinical-stage biotechnology company developing next-generation biologics for immunological and inflammatory disorders. Lead candidate zumilokibart (APG777) is a half-life extended anti-IL-13 monoclonal antibody in Phase 2/3 for atopic dermatitis, with additional programs in asthma, eosinophilic esophagitis, and COPD. As of September 3, 2026, Apogee operates as a subsidiary of AbbVie Inc. following the completed $135.11 per share all-cash acquisition ($10.9B). Founded 2022, CORE values: Caring, Original, Resilient, Egoless.</w:t>
      </w:r>
    </w:p>
    <w:p>
      <w:r>
        <w:rPr>
          <w:rFonts w:ascii="Calibri" w:hAnsi="Calibri"/>
          <w:b/>
          <w:color w:val="6E8450"/>
          <w:sz w:val="18"/>
        </w:rPr>
        <w:t>261 Employees · https://apogeetherapeutics.com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Apogee advanced zumilokibart from IND filing to Phase 2/3 in under 4 years with compelling clinical data — APEX Phase 2 Part A 52-week maintenance data demonstrated 75-86% of responders sustained response with durable 3- and 6-month dosing in moderate-to-severe atopic dermatitis [1][2]. The pipeline expansion to 5+ candidates (APG990, APG808, APG279, APG273, APG333) and the $10.9B AbbVie acquisition validate the platform thesis. However, no product has reached FDA approval or commercial launch. AI Deployment (0/2): No evidence of AI-powered products or quantified AI-driven efficiencies. Standard computational biology tools may support antibody engineering but no specific AI deployment was reported. Market Share (1/2): Zumilokibart is pre-approval and competes against the dominant Dupixent franchise (Sanofi/Regeneron, ~$13B annual revenue). The head-to-head Phase 1b trial (APG279 vs. Dupixent) demonstrates competitive confidence, and AbbVie's $10.9B acquisition price validates differentiated positioning [2][3]. Product Pipeline (2/2): Exceptional pipeline with specific milestones — zumilokibart Phase 3 ADventure trials initiating H2 2026; APG279 head-to-head vs. Dupixent interim data expected H2 2026; positive Phase 1b asthma expansion underway; APG273, APG808, APG333, APG990 advancing across I&amp;I indications [2]. R&amp;D Intensity (1/1): R&amp;D spending of $60.8M in Q1 2026 (+31% YoY) with zero commercial revenue represents 100% R&amp;D intensity, dramatically above industry average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Apogee's CORE values — Caring, Original, Resilient, and Egoless — are distinctively thoughtful and clearly shape organizational behavior. 'Egoless' in particular is unusual for a biotech and reflects genuine intentionality about culture [4]. The company's founding thesis — engineering optimized antibodies with improved pharmacokinetics to reduce injection frequency for patients — connects work to meaningful patient impact. However, the company is only 4 years old, now acquired by AbbVie, and hasn't proven this purpose through extended market cycles or leadership transitions. Community &amp; Charitable Impact (0/2): No evidence of specific charitable programs or community investment. As a pre-revenue clinical-stage biotech, resources directed entirely toward drug development. Employee Retention (1/2): 261 employees with unanimously positive Glassdoor reviews describing a 'healthiest biotech culture' with 'deliberate effort to keep a non-toxic culture' and an 'approachable executive team that leads by example' [4]. The CORE values framework is validated as lived culture. Small sample size limits confidence. Insider Buying (0/2): No meaningful net insider buying data identified. The completed AbbVie acquisition at $135.11/share makes insider transaction data moot.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extremely limited available metrics, reflecting the pre-revenue reality of a clinical-stage biotech. D/E of 0.6% is near-perfect — only $6.8M total debt against $972M cash position, providing substantial funded runway [2][5]. However, ROE of -32.5% (net losses of $85.9M in Q2 and $74.1M in Q1 2026 with no revenue) and 0% profit margin score 0.0 on the mechanical framework [1]. Revenue growth, forward P/E, and forward PEG are all unavailable or meaningless for a pre-revenue company — the scoring pool reduces to D/E (1.0), ROE (0.0), and profit margin (0.0), producing a mechanically low score that understates the company's financial fortress. The $10.9B AbbVie acquisition at $135.11/share provides definitive valuation validation that mechanical metrics cannot capture for pre-revenue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Apogee demonstrated genuine purpose-driven culture through its distinctive CORE values and patient-centric mission, with Glassdoor reviews validating an unusually healthy organizational culture for a pre-revenue biotech [4]. The head-to-head trial against Dupixent reflects worthy rival thinking. However, the company existed for only 4 years before being acquired by AbbVie, ending its independent existence. The acquisition can be viewed as advancing the Just Cause (patients benefit from AbbVie's global reach and commercialization capability) or as finite game optimization (taking the $10.9B exit rather than pursuing independent long-term growth).</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Apogee's cause — developing best-in-class biologics with improved dosing convenience to improve patients' lives — is genuine and connects work to patient impact. The CORE values framework (Caring, Original, Resilient, Egoless) provides organizational specificity that distinguishes Apogee from generic biotech mission statements [4]. The decision to run head-to-head trials against Dupixent rather than avoiding comparison demonstrates confidence in the cause. However, the company was founded in 2022, has not survived leadership transitions or market crises, and the completed AbbVie acquisition ends the independent test of this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while limited in number, are unanimously positive and describe an exceptionally healthy culture — 'healthiest biotech culture,' 'deliberate effort to keep a non-toxic culture,' 'approachable executive team that leads by example' [4]. For a 261-employee clinical-stage biotech, the cultural indicators are above average. The CORE values framework with 'Egoless' reflects unusual organizational intentionality. The small sample size and 4-year company history limit confidence in long-term sustainability.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Apogee exemplifies Sinek's worthy rival concept through its explicit head-to-head clinical trial against Dupixent (Sanofi/Regeneron), the dominant $13B therapy in atopic dermatitis [2]. Rather than avoiding comparison with the incumbent, Apogee enrolled patients in APG279 vs. Dupixent head-to-head, using the market leader's clinical profile as the benchmark to demonstrate superiority. This approach frames competition as motivation to prove differentiation and improve patient outcomes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Apogee operated within its original thesis — next-generation IL-13 biologics for immunology — throughout its 4-year existence before being acquired. The pipeline expanded into adjacent indications (asthma, EoE, COPD) but the core antibody engineering platform remained unchanged. The company never faced a strategic inflection point requiring existential reinvention, and the AbbVie acquisition ended its independent existence before any such test could occur.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Michael Henderson's decision to pursue a head-to-head trial against Dupixent — the dominant $13B franchise in immunology — demonstrates competitive courage that most clinical-stage biotechs avoid [2]. Securing $1.3B+ in financing to fully fund the pipeline shows long-term capital allocation conviction. However, agreeing to the AbbVie acquisition at $135.11/share, while financially compelling for shareholders, represents choosing certain value over the uncertain but potentially larger outcome of independent commercialization.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Apogee Therapeutics was acquired by AbbVie for $135.11 per share in an all-cash transaction ($10.9B), with the deal closing on September 3, 2026 [3]. The stock trades at $135.07, essentially at the deal price. Prior to acquisition, Apogee had built a compelling clinical-stage platform — zumilokibart showed 75-86% sustained response at Week 52 in atopic dermatitis with best-in-class 3- and 6-month dosing, and the pipeline expanded to 6+ candidates across immunology and respiratory [1][2]. The $10.9B valuation for a pre-revenue biotech validated the platform's differentiation against the $13B Dupixent franchise. Under AbbVie's ownership, zumilokibart gains access to global commercial infrastructure and the resources to accelerate Phase 3 ADventure trials and potential BLA filing.</w:t>
      </w:r>
    </w:p>
    <w:p>
      <w:pPr>
        <w:spacing w:after="120"/>
      </w:pPr>
      <w:r>
        <w:rPr>
          <w:rFonts w:ascii="Calibri" w:hAnsi="Calibri"/>
          <w:b w:val="0"/>
          <w:color w:val="3A4A28"/>
          <w:sz w:val="20"/>
        </w:rPr>
        <w:t>With the AbbVie acquisition closed at $135.11/share, APGE shares will be delisted and the fundamental investment thesis is concluded. The IOWN framework scores this stock on its pre-acquisition merits as a clinical-stage biotech — the infrastructure score of 3 reflects mechanical limitations of scoring pre-revenue companies, not the underlying platform quality that attracted AbbVie's $10.9B bid [3]. For historical context: the bear case prior to acquisition centered on pre-revenue status with ~$160M annual net loss (Q1 2026 loss of $74.1M, Q2 loss of $85.9M), regulatory risk in Phase 3 trials, and intense competition from Sanofi/Regeneron's established Dupixent franchise [1][2]. Sustainalytics rated Apogee's ESG risk management as weak, though no specific controversies were identified [5]. The company's short 4-year operating history and dependence on a single platform (half-life extended antibodies) concentrated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AbbVie acquisition closed September 3, 2026 at $135.11/share — the investment thesis is concluded with shareholders receiving the all-cash consideration [3]</w:t>
      </w:r>
    </w:p>
    <w:p>
      <w:pPr>
        <w:spacing w:before="40" w:after="40"/>
        <w:ind w:left="283"/>
      </w:pPr>
      <w:r>
        <w:rPr>
          <w:rFonts w:ascii="Calibri" w:hAnsi="Calibri"/>
          <w:b/>
          <w:color w:val="4A6B25"/>
          <w:sz w:val="20"/>
        </w:rPr>
        <w:t xml:space="preserve">2. </w:t>
      </w:r>
      <w:r>
        <w:rPr>
          <w:rFonts w:ascii="Calibri" w:hAnsi="Calibri"/>
          <w:b w:val="0"/>
          <w:color w:val="3A4A28"/>
          <w:sz w:val="20"/>
        </w:rPr>
        <w:t>Post-acquisition under AbbVie: zumilokibart Phase 3 ADventure trials in atopic dermatitis and expansion into asthma and EoE could generate blockbuster revenue within AbbVie's immunology portfolio, validating the acquisition thesis [2]</w:t>
      </w:r>
    </w:p>
    <w:p>
      <w:pPr>
        <w:spacing w:before="40" w:after="40"/>
        <w:ind w:left="283"/>
      </w:pPr>
      <w:r>
        <w:rPr>
          <w:rFonts w:ascii="Calibri" w:hAnsi="Calibri"/>
          <w:b/>
          <w:color w:val="4A6B25"/>
          <w:sz w:val="20"/>
        </w:rPr>
        <w:t xml:space="preserve">3. </w:t>
      </w:r>
      <w:r>
        <w:rPr>
          <w:rFonts w:ascii="Calibri" w:hAnsi="Calibri"/>
          <w:b w:val="0"/>
          <w:color w:val="3A4A28"/>
          <w:sz w:val="20"/>
        </w:rPr>
        <w:t>APG279 head-to-head vs. Dupixent interim data expected H2 2026 could demonstrate superiority, positioning AbbVie to challenge the $13B Dupixent franchise directly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is effectively a closed-deal post-acquisition position — APGE shares will be delisted, leaving no ongoing investment opportunity for public market investors</w:t>
      </w:r>
    </w:p>
    <w:p>
      <w:pPr>
        <w:spacing w:before="40" w:after="40"/>
        <w:ind w:left="283"/>
      </w:pPr>
      <w:r>
        <w:rPr>
          <w:rFonts w:ascii="Calibri" w:hAnsi="Calibri"/>
          <w:b/>
          <w:color w:val="4A6B25"/>
          <w:sz w:val="20"/>
        </w:rPr>
        <w:t xml:space="preserve">2. </w:t>
      </w:r>
      <w:r>
        <w:rPr>
          <w:rFonts w:ascii="Calibri" w:hAnsi="Calibri"/>
          <w:b w:val="0"/>
          <w:color w:val="3A4A28"/>
          <w:sz w:val="20"/>
        </w:rPr>
        <w:t>If deal somehow unwinds (extremely unlikely post-close): pre-revenue status with $160M+ annual net loss and dependency on Phase 3 clinical success creates binary risk profile</w:t>
      </w:r>
    </w:p>
    <w:p>
      <w:pPr>
        <w:spacing w:before="40" w:after="40"/>
        <w:ind w:left="283"/>
      </w:pPr>
      <w:r>
        <w:rPr>
          <w:rFonts w:ascii="Calibri" w:hAnsi="Calibri"/>
          <w:b/>
          <w:color w:val="4A6B25"/>
          <w:sz w:val="20"/>
        </w:rPr>
        <w:t xml:space="preserve">3. </w:t>
      </w:r>
      <w:r>
        <w:rPr>
          <w:rFonts w:ascii="Calibri" w:hAnsi="Calibri"/>
          <w:b w:val="0"/>
          <w:color w:val="3A4A28"/>
          <w:sz w:val="20"/>
        </w:rPr>
        <w:t>Zumilokibart faces ongoing Phase 3 regulatory risk — failure to demonstrate superiority vs. Dupixent in head-to-head trials would undermine the core differentiation thesis and AbbVie's $10.9B acquisition rationale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Apogee's core business is structurally immune to AI disruption. Developing and manufacturing monoclonal antibodies requires physical clinical trials with thousands of patients, FDA regulatory review processes, bioreactor-based GMP manufacturing, and complex supply chains that AI cannot substitute [2]. The biologics development pathway — from IND filing through Phase 1/2/3 trials to BLA — requires years of physical-world validation that no AI system can replace. AI may modestly accelerate drug discovery (antibody optimization, target identification) but cannot substitute for the regulated clinical and manufacturing process. As an AbbVie subsidiary, the combined entity's immunology franchise has even deeper competitive moats. AI Opportunity (0/1): No quantifiable AI-related revenue. Computational biology tools may support antibody engineering but the company does not generate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Apogee Therapeutics Q2 2026 Financial Results — net loss $85.9M, R&amp;D spending increase, pipeline updates — SEC Form 8-K, BioSpace, August 2026</w:t>
      </w:r>
    </w:p>
    <w:p>
      <w:pPr>
        <w:spacing w:before="20" w:after="20"/>
        <w:ind w:left="170"/>
      </w:pPr>
      <w:r>
        <w:rPr>
          <w:rFonts w:ascii="Calibri" w:hAnsi="Calibri"/>
          <w:b/>
          <w:color w:val="4A6B25"/>
          <w:sz w:val="15"/>
        </w:rPr>
        <w:t xml:space="preserve">2. </w:t>
      </w:r>
      <w:r>
        <w:rPr>
          <w:rFonts w:ascii="Calibri" w:hAnsi="Calibri"/>
          <w:b w:val="0"/>
          <w:color w:val="3A4A28"/>
          <w:sz w:val="17"/>
        </w:rPr>
        <w:t>Apogee Therapeutics Q1 2026 Pipeline Progress — zumilokibart Phase 2 52-week data, Phase 3 initiation plans, asthma expansion — investors.apogeetherapeutics.com, May 2026</w:t>
      </w:r>
    </w:p>
    <w:p>
      <w:pPr>
        <w:spacing w:before="20" w:after="20"/>
        <w:ind w:left="170"/>
      </w:pPr>
      <w:r>
        <w:rPr>
          <w:rFonts w:ascii="Calibri" w:hAnsi="Calibri"/>
          <w:b/>
          <w:color w:val="4A6B25"/>
          <w:sz w:val="15"/>
        </w:rPr>
        <w:t xml:space="preserve">3. </w:t>
      </w:r>
      <w:r>
        <w:rPr>
          <w:rFonts w:ascii="Calibri" w:hAnsi="Calibri"/>
          <w:b w:val="0"/>
          <w:color w:val="3A4A28"/>
          <w:sz w:val="17"/>
        </w:rPr>
        <w:t>AbbVie Acquisition of Apogee Therapeutics — $135.11/share all-cash ($10.9B), closed September 3, 2026 — Nasdaq, BioSpace, June-September 2026</w:t>
      </w:r>
    </w:p>
    <w:p>
      <w:pPr>
        <w:spacing w:before="20" w:after="20"/>
        <w:ind w:left="170"/>
      </w:pPr>
      <w:r>
        <w:rPr>
          <w:rFonts w:ascii="Calibri" w:hAnsi="Calibri"/>
          <w:b/>
          <w:color w:val="4A6B25"/>
          <w:sz w:val="15"/>
        </w:rPr>
        <w:t xml:space="preserve">4. </w:t>
      </w:r>
      <w:r>
        <w:rPr>
          <w:rFonts w:ascii="Calibri" w:hAnsi="Calibri"/>
          <w:b w:val="0"/>
          <w:color w:val="3A4A28"/>
          <w:sz w:val="17"/>
        </w:rPr>
        <w:t>Apogee Therapeutics Culture and CORE Values — Glassdoor reviews, apogeetherapeutics.com/about-us,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Apogee Therapeutics ESG Risk Rating (Weak) and Key Statistics — Sustainalytics,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