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APH</w:t>
      </w:r>
      <w:r>
        <w:rPr>
          <w:rFonts w:ascii="Calibri" w:hAnsi="Calibri"/>
          <w:b/>
          <w:color w:val="1A2010"/>
          <w:sz w:val="40"/>
        </w:rPr>
        <w:t xml:space="preserve">  Amphenol Corporation</w:t>
      </w:r>
    </w:p>
    <w:p>
      <w:pPr>
        <w:spacing w:after="120"/>
      </w:pPr>
      <w:r>
        <w:rPr>
          <w:rFonts w:ascii="Calibri" w:hAnsi="Calibri"/>
          <w:b/>
          <w:color w:val="6E8450"/>
          <w:sz w:val="18"/>
        </w:rPr>
        <w:t>GROWTH SLEEVE · 2026-10-05 · Inspire: 58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Components · NYQ · United States</w:t>
      </w:r>
    </w:p>
    <w:p>
      <w:pPr>
        <w:spacing w:after="80"/>
      </w:pPr>
      <w:r>
        <w:rPr>
          <w:rFonts w:ascii="Calibri" w:hAnsi="Calibri"/>
          <w:b w:val="0"/>
          <w:color w:val="3A4A28"/>
          <w:sz w:val="20"/>
        </w:rPr>
        <w:t>Amphenol designs, manufactures, and markets electrical, electronic, and fiber optic connectors across three segments — Communications Solutions, Harsh Environment Solutions, and Interconnect and Sensor Systems. The company serves automotive, aerospace, defense, IT datacom, industrial, and mobile device markets globally. TTM revenue reached $29.0B with 60.9% YoY growth, significantly boosted by the Q1 2026 CommScope acquisition. Record Q2 2026 orders of $10.7B (+94% YoY) with 1.23:1 book-to-bill. Founded in 1932 and headquartered in Wallingford, Connecticut. A 2-for-1 stock split was executed in September 2026.</w:t>
      </w:r>
    </w:p>
    <w:p>
      <w:r>
        <w:rPr>
          <w:rFonts w:ascii="Calibri" w:hAnsi="Calibri"/>
          <w:b/>
          <w:color w:val="6E8450"/>
          <w:sz w:val="18"/>
        </w:rPr>
        <w:t>170,000 Employees · https://www.amphenol.com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Under CEO Adam Norwitt (in role since 2009), Amphenol has completed over 100 acquisitions that progressively reshaped the portfolio from legacy military/aerospace connectors into mobile devices, automotive, and now AI data center interconnect, with IT datacom sales surging 63% organically in Q2 2026 [1]. The $6.5B CommScope acquisition closed Q1 2026, with management raising its full-year CommScope revenue outlook to $4.60B from $4.10B and doubling expected EPS accretion to $0.30 [1][2]. AI Deployment (2/2): AI-related revenue has reached a quantified $10.5-11B annualized run rate, with IT Datacom segment revenue up 133% YoY in Q2 2025 driven almost entirely by AI interconnect demand; management describes AI as a 'generational transformation' creating durable pricing power [3][4]. Market Share (2/2): Amphenol is gaining share in AI datacenter interconnect with record orders of $10.7B in Q2 2026 (+94% YoY) and a 1.23:1 book-to-bill ratio, both record levels, alongside upgraded CommScope trajectory [1]. Product Pipeline (1/2): Record $10.1B backlog as of June 30, 2026 provides strong near-term revenue visibility, and the company is developing expanded beam optical connectors and advanced power distribution for next-gen AI racks, but specific product launch timelines are less defined than semiconductor roadmaps [1][4]. R&amp;D Intensity (0/1): R&amp;D is embedded at the business-unit level rather than centralized, and no explicit R&amp;D-to-revenue figure relative to electronic components industry peers was identified.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Amphenol's stated purpose — 'Enabling the Electronics Revolution' — is clear and connects the company's work to technological advancement, but reads as descriptive rather than aspirational, lacking the transformative vision that distinguishes a genuine Just Cause from a business description [5]. It differentiates somewhat from generic connector peers but doesn't articulate a deeper purpose beyond what the company already does. Community Impact (1/2): Amphenol publishes annual sustainability reports addressing GHG emissions, water conservation, and ethical supply chain management including zero-tolerance for forced labor, but no distinctive charitable foundation, dollar amounts for community investment, or quantified philanthropic programs were identified [5]. Employee Retention (1/2): CEO Adam Norwitt's 17-year tenure (appointed 2009) provides exceptional leadership continuity with 86% CEO approval and 3.9/5 overall Glassdoor rating across 637 reviews; the company's 'intrapreneurship' culture fosters decentralized entrepreneurial management across 130+ business units [3][6]. However, no specific voluntary turnover or average tenure data is publicly available. Insider Buying (0/2): No evidence of meaningful net insider buying by Norwitt or senior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all seven metrics. ROE of 38.1% far exceeds the 15% target (score 1.0, 2x weight), driven by capital-efficient operations and accretive CommScope integration [1][2]. Revenue growth of 55% YoY massively surpasses the 10% target (score 1.0), with the 5-year revenue CAGR of approximately 23.2% also scoring at ceiling (1.0, 2x weight). Forward PEG of 0.99 sits right at the 1.0 target (score 1.0, 2x weight), indicating the market is pricing growth fairly relative to earnings trajectory — an improvement from the 1.17 PEG at last screen driven by analyst EPS estimate upgrades. D/E of 120.4% is above the 70% target but well below the 300% floor (score 0.78), reflecting acquisition-related debt. Forward P/E of 26.5 has compressed from 34.1 at last screen due to rising earnings estimates (score 0.84). Profit margin of 17.7% falls slightly below the 20% target (score 0.89). Daily dollar volume of $1.09B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Amphenol reflects a largely infinite-game operator under Sinek's lens: a consistent, decades-old mission executed through a genuinely decentralized, trust-based operating model that has repeatedly reinvented the company's end-market mix through disciplined M&amp;A across multiple technology cycles — from military/aerospace through mobile devices, automotive, and now AI data centers. The main gaps are limited evidence of principled sacrifice (the strategy has been financially rewarding throughout, without a crisis-tested example of foregone near-term profit) and no specific evidence of how the company frames competitive rivalry.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'Enabling the Electronics Revolution' has genuinely shaped two decades of strategic decision-making under CEO Adam Norwitt, guiding the disciplined acquisition strategy through the 2008 financial crisis, COVID-19, and the AI buildout [1][5]. The cause connects the company's work to broader technological advancement and has been consistently pursued through 90+ years of serving electronics innovation. However, it describes what the company does rather than articulating an unrealized future state that invites sacrifice, falling short of the Sinek-canonical tier.</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Amphenol's defining operational philosophy is decentralized 'intrapreneurship' — 130+ general managers run semi-autonomous business units with P&amp;L responsibility, which requires genuine trust in local leaders and creates real entrepreneurial empowerment aligned with Sinek's Circle of Safety [3][6]. This is corroborated by strong employee sentiment: 3.9/5 overall Glassdoor rating across 637 reviews, 86% CEO approval, and the company's ability to attract and retain entrepreneurial talent within a large organization of 170,000 employees.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Amphenol's competitive language in earnings calls and investor materials centers on market share gains, revenue outperformance, and order growth records rather than acknowledging competitors' strengths [1][4]. No evidence of management referencing TE Connectivity, Molex, or other rivals as worthy competitors whose strengths reveal Amphenol's weaknesses or drive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Amphenol has fundamentally reshaped its portfolio multiple times through 100+ acquisitions — from a legacy military/aerospace connector maker into mobile devices, automotive electrification, industrial sensors, and now AI datacom interconnect, which alone grew 63% organically in Q2 2026 [1][3]. The CommScope acquisition further transformed the company by adding enterprise networking and outdoor wireless. This represents genuine, repeated business-model reinvention rather than incremental change, each shift entering entirely new markets in service of 'enabling the electronics revolution.'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$6.5B CommScope acquisition — Amphenol's largest deal ever — demonstrates willingness to make a significant long-term bet, adding leverage to the balance sheet (D/E rising to 120%) in pursuit of strategic expansion [1][2]. Norwitt has maintained investment through cycles and executed 100+ acquisitions over two decades. However, the strategy has been consistently profitable throughout — no specific instance of sacrificing near-term earnings for a principled long-term stance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Amphenol at $86.96 (post-split) with a $214B market cap is one of the purest plays on AI physical infrastructure: record Q2 2026 sales of $8.76B (+55% YoY, +30% organic) were driven by IT datacom up 63% organically, record orders of $10.7B (+94% YoY, 1.23:1 book-to-bill), and record backlog of $10.1B, with AI-related revenue at a $10.5-11B annualized pace [1][2]. The CommScope integration is exceeding expectations — outlook raised to $4.60B from $4.10B with EPS accretion doubled to $0.30. ROE of 38.1%, record adjusted operating margin of 29.8%, a 5-year revenue CAGR of 23.2%, and a Forward PEG of 0.99 demonstrate exceptional capital efficiency fairly priced relative to the growth trajectory. The decentralized intrapreneurship model with 130+ autonomous business units enables rapid market-by-market capture without central bottlenecks [3][6].</w:t>
      </w:r>
    </w:p>
    <w:p>
      <w:pPr>
        <w:spacing w:after="120"/>
      </w:pPr>
      <w:r>
        <w:rPr>
          <w:rFonts w:ascii="Calibri" w:hAnsi="Calibri"/>
          <w:b w:val="0"/>
          <w:color w:val="3A4A28"/>
          <w:sz w:val="20"/>
        </w:rPr>
        <w:t>The bear case centers on growth sustainability and valuation risk. At 43.5x trailing and 26.5x forward earnings, Amphenol prices in continued 55%+ growth that becomes mathematically harder to sustain as the AI infrastructure buildout matures and CommScope revenue annualizes [1][2]. Management has explicitly acknowledged that current AI server market share levels 'may not be sustainable,' and the copper-versus-optics technology transition presents positioning risk [4]. D/E of 120.4% reflects CommScope acquisition debt that must be deleveraged through earnings, creating vulnerability if AI spending decelerates. The electronic components industry is historically cyclical — revenue stagnated from $12.6B (2022) to $12.6B (2023) before the AI boom rescued growth. Profit margin of 17.7% remains below the 20% target, and with 170,000 employees across 130+ semi-autonomous units, execution risk increases as the organization scales rapidly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AI datacenter capex from hyperscalers sustaining or accelerating the 63% organic IT datacom growth rate, with the $10.1B record backlog and 1.23:1 book-to-bill providing several quarters of revenue visibility [1]</w:t>
      </w:r>
    </w:p>
    <w:p>
      <w:pPr>
        <w:spacing w:before="40" w:after="40"/>
        <w:ind w:left="283"/>
      </w:pPr>
      <w:r>
        <w:rPr>
          <w:rFonts w:ascii="Calibri" w:hAnsi="Calibri"/>
          <w:b/>
          <w:color w:val="4A6B25"/>
          <w:sz w:val="20"/>
        </w:rPr>
        <w:t xml:space="preserve">2. </w:t>
      </w:r>
      <w:r>
        <w:rPr>
          <w:rFonts w:ascii="Calibri" w:hAnsi="Calibri"/>
          <w:b w:val="0"/>
          <w:color w:val="3A4A28"/>
          <w:sz w:val="20"/>
        </w:rPr>
        <w:t>CommScope acquisition integration exceeding expectations with management raising full-year revenue outlook to $4.60B from $4.10B and doubling EPS accretion to $0.30, expanding addressable market into enterprise networking and outdoor wireless [1][2]</w:t>
      </w:r>
    </w:p>
    <w:p>
      <w:pPr>
        <w:spacing w:before="40" w:after="40"/>
        <w:ind w:left="283"/>
      </w:pPr>
      <w:r>
        <w:rPr>
          <w:rFonts w:ascii="Calibri" w:hAnsi="Calibri"/>
          <w:b/>
          <w:color w:val="4A6B25"/>
          <w:sz w:val="20"/>
        </w:rPr>
        <w:t xml:space="preserve">3. </w:t>
      </w:r>
      <w:r>
        <w:rPr>
          <w:rFonts w:ascii="Calibri" w:hAnsi="Calibri"/>
          <w:b w:val="0"/>
          <w:color w:val="3A4A28"/>
          <w:sz w:val="20"/>
        </w:rPr>
        <w:t>Forward PEG compression to 0.99 (from 1.17 at last screen) as analyst EPS estimates catch up to execution, supporting multiple sustainability if growth continues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server interconnect market share may not be sustainable at current levels — management has explicitly flagged this risk as fast-evolving technology cycles and copper-versus-optics transition create positioning uncertainty [4]</w:t>
      </w:r>
    </w:p>
    <w:p>
      <w:pPr>
        <w:spacing w:before="40" w:after="40"/>
        <w:ind w:left="283"/>
      </w:pPr>
      <w:r>
        <w:rPr>
          <w:rFonts w:ascii="Calibri" w:hAnsi="Calibri"/>
          <w:b/>
          <w:color w:val="4A6B25"/>
          <w:sz w:val="20"/>
        </w:rPr>
        <w:t xml:space="preserve">2. </w:t>
      </w:r>
      <w:r>
        <w:rPr>
          <w:rFonts w:ascii="Calibri" w:hAnsi="Calibri"/>
          <w:b w:val="0"/>
          <w:color w:val="3A4A28"/>
          <w:sz w:val="20"/>
        </w:rPr>
        <w:t>Heavy revenue concentration in AI-driven IT datacom growth (63% organic in Q2 2026) creates vulnerability to any deceleration in hyperscaler AI infrastructure capital spending, which would compress the 26.5x forward multiple</w:t>
      </w:r>
    </w:p>
    <w:p>
      <w:pPr>
        <w:spacing w:before="40" w:after="40"/>
        <w:ind w:left="283"/>
      </w:pPr>
      <w:r>
        <w:rPr>
          <w:rFonts w:ascii="Calibri" w:hAnsi="Calibri"/>
          <w:b/>
          <w:color w:val="4A6B25"/>
          <w:sz w:val="20"/>
        </w:rPr>
        <w:t xml:space="preserve">3. </w:t>
      </w:r>
      <w:r>
        <w:rPr>
          <w:rFonts w:ascii="Calibri" w:hAnsi="Calibri"/>
          <w:b w:val="0"/>
          <w:color w:val="3A4A28"/>
          <w:sz w:val="20"/>
        </w:rPr>
        <w:t>D/E of 120.4% from the $6.5B CommScope deal must be deleveraged through earnings, and prior cycles show revenue can stagnate when end-market demand softens ($12.6B in both 2022 and 2023)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Amphenol manufactures the physical high-speed interconnects, cable assemblies, power busbars, and liquid cooling connectors that AI data centers are built on — the company is literally part of the AI infrastructure buildout and cannot be disrupted by the technology it supplies [1][3]. Demand for its products scales directly with AI compute deployment, with IT Datacom revenue surging 133% in Q2 2025 and AI-related revenue reaching $10.5-11B annualized. Defense, automotive, and industrial segments face zero AI substitution risk as they involve physical-world infrastructure [4]. AI Opportunity (1/1): AI-related revenue is explicitly quantified at a $10.5-11B annualized run rate, with record orders of $10.7B in Q2 2026 driven specifically by AI interconnect demand representing approximately 35% of TTM revenue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Amphenol Q1 2026 Earnings Release — Record $7.6B Revenue (+58% YoY), Adj EPS +68%, CommScope Revenue Outlook Raised to $4.60B — Yahoo Finance, April 2026</w:t>
      </w:r>
    </w:p>
    <w:p>
      <w:pPr>
        <w:spacing w:before="20" w:after="20"/>
        <w:ind w:left="170"/>
      </w:pPr>
      <w:r>
        <w:rPr>
          <w:rFonts w:ascii="Calibri" w:hAnsi="Calibri"/>
          <w:b/>
          <w:color w:val="4A6B25"/>
          <w:sz w:val="15"/>
        </w:rPr>
        <w:t xml:space="preserve">2. </w:t>
      </w:r>
      <w:r>
        <w:rPr>
          <w:rFonts w:ascii="Calibri" w:hAnsi="Calibri"/>
          <w:b w:val="0"/>
          <w:color w:val="3A4A28"/>
          <w:sz w:val="17"/>
        </w:rPr>
        <w:t>Amphenol Q2 2026 Earnings — Revenue $8.76B (+55% YoY), Record Orders $10.7B (+94%), 1.23:1 Book-to-Bill, $10.1B Backlog — TradingView, Tickeron, SEC 10-Q, July 2026</w:t>
      </w:r>
    </w:p>
    <w:p>
      <w:pPr>
        <w:spacing w:before="20" w:after="20"/>
        <w:ind w:left="170"/>
      </w:pPr>
      <w:r>
        <w:rPr>
          <w:rFonts w:ascii="Calibri" w:hAnsi="Calibri"/>
          <w:b/>
          <w:color w:val="4A6B25"/>
          <w:sz w:val="15"/>
        </w:rPr>
        <w:t xml:space="preserve">3. </w:t>
      </w:r>
      <w:r>
        <w:rPr>
          <w:rFonts w:ascii="Calibri" w:hAnsi="Calibri"/>
          <w:b w:val="0"/>
          <w:color w:val="3A4A28"/>
          <w:sz w:val="17"/>
        </w:rPr>
        <w:t>Amphenol CEO Leadership and Culture — Adam Norwitt 17-Year Tenure, 86% CEO Approval, Intrapreneurship Model, Glassdoor 3.9/5 — Glassdoor, Comparably, Substack Legacy in Motion, 2025-2026</w:t>
      </w:r>
    </w:p>
    <w:p>
      <w:pPr>
        <w:spacing w:before="20" w:after="20"/>
        <w:ind w:left="170"/>
      </w:pPr>
      <w:r>
        <w:rPr>
          <w:rFonts w:ascii="Calibri" w:hAnsi="Calibri"/>
          <w:b/>
          <w:color w:val="4A6B25"/>
          <w:sz w:val="15"/>
        </w:rPr>
        <w:t xml:space="preserve">4. </w:t>
      </w:r>
      <w:r>
        <w:rPr>
          <w:rFonts w:ascii="Calibri" w:hAnsi="Calibri"/>
          <w:b w:val="0"/>
          <w:color w:val="3A4A28"/>
          <w:sz w:val="17"/>
        </w:rPr>
        <w:t>Amphenol AI Strategy Analysis — IT Datacom +133%, AI as 'Generational Transformation', Copper vs Optics Risk, Market Share Sustainability — Yahoo Finance, Klover.ai, BeyondSPX, 2025-2026</w:t>
      </w:r>
    </w:p>
    <w:p>
      <w:pPr>
        <w:spacing w:before="20" w:after="20"/>
        <w:ind w:left="170"/>
      </w:pPr>
      <w:r>
        <w:rPr>
          <w:rFonts w:ascii="Calibri" w:hAnsi="Calibri"/>
          <w:b/>
          <w:color w:val="4A6B25"/>
          <w:sz w:val="15"/>
        </w:rPr>
        <w:t xml:space="preserve">5. </w:t>
      </w:r>
      <w:r>
        <w:rPr>
          <w:rFonts w:ascii="Calibri" w:hAnsi="Calibri"/>
          <w:b w:val="0"/>
          <w:color w:val="3A4A28"/>
          <w:sz w:val="17"/>
        </w:rPr>
        <w:t>Amphenol 2025 Sustainability Report — 'Enabling the Electronics Revolution', Environmental and Labor Programs, Supply Chain Integrity — amphenol.com, 2025</w:t>
      </w:r>
    </w:p>
    <w:p>
      <w:pPr>
        <w:spacing w:before="20" w:after="20"/>
        <w:ind w:left="170"/>
      </w:pPr>
      <w:r>
        <w:rPr>
          <w:rFonts w:ascii="Calibri" w:hAnsi="Calibri"/>
          <w:b/>
          <w:color w:val="4A6B25"/>
          <w:sz w:val="15"/>
        </w:rPr>
        <w:t xml:space="preserve">6. </w:t>
      </w:r>
      <w:r>
        <w:rPr>
          <w:rFonts w:ascii="Calibri" w:hAnsi="Calibri"/>
          <w:b w:val="0"/>
          <w:color w:val="3A4A28"/>
          <w:sz w:val="17"/>
        </w:rPr>
        <w:t>Amphenol Executive Leadership — Decentralized Business Unit Model, 130+ General Managers — amphenol.com/governance/leadership,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