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AQN</w:t>
      </w:r>
      <w:r>
        <w:rPr>
          <w:rFonts w:ascii="Calibri" w:hAnsi="Calibri"/>
          <w:b/>
          <w:color w:val="1A2010"/>
          <w:sz w:val="40"/>
        </w:rPr>
        <w:t xml:space="preserve">  Algonquin Power &amp; Utilities Corp.</w:t>
      </w:r>
    </w:p>
    <w:p>
      <w:pPr>
        <w:spacing w:after="120"/>
      </w:pPr>
      <w:r>
        <w:rPr>
          <w:rFonts w:ascii="Calibri" w:hAnsi="Calibri"/>
          <w:b/>
          <w:color w:val="6E8450"/>
          <w:sz w:val="18"/>
        </w:rPr>
        <w:t>DIVIDEND SLEEVE · 2026-10-17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Diversified · NYSE · Canada</w:t>
      </w:r>
    </w:p>
    <w:p>
      <w:pPr>
        <w:spacing w:after="80"/>
      </w:pPr>
      <w:r>
        <w:rPr>
          <w:rFonts w:ascii="Calibri" w:hAnsi="Calibri"/>
          <w:b w:val="0"/>
          <w:color w:val="3A4A28"/>
          <w:sz w:val="20"/>
        </w:rPr>
        <w:t>Algonquin Power &amp; Utilities operates regulated electric, water, wastewater, and natural gas utilities across the United States, Canada, Bermuda, and Chile through its Liberty Utilities subsidiary. The company is undergoing a strategic transformation from a diversified power and utility company to a pure-play regulated utility under CEO Rod West (appointed March 2025, former 25-year Entergy executive). AQN reported Q1 2026 revenue of $792.4M (+14.4% YoY) with adj net earnings of $99.6M. Guidance targets 2026 adjusted EPS of $0.35-$0.37 with 5-6% rate base CAGR through 2028. The quarterly dividend of $0.065/share ($0.26 annualized) reflects the 2023 cut from $0.72/year.</w:t>
      </w:r>
    </w:p>
    <w:p>
      <w:r>
        <w:rPr>
          <w:rFonts w:ascii="Calibri" w:hAnsi="Calibri"/>
          <w:b/>
          <w:color w:val="6E8450"/>
          <w:sz w:val="18"/>
        </w:rPr>
        <w:t>3,223 Employees · https://algonquinpower.com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Algonquin's primary strategic move has been the transition from a diversified power/utility company to a pure-play regulated utility — a simplification and restructuring, not genuine innovation. The company divested renewable energy assets and refocused on rate-regulated utility operations, a defensive repositioning driven by balance sheet necessity after the failed Kentucky Power acquisition and overleveraged balance sheet [1][3]. AI Deployment (0/2): No evidence of AI deployment in utility operations; the company has not discussed AI-powered grid management, predictive maintenance, or customer service automation in public communications. Market Share (0/2): AQN operates small-to-mid-size regulated utilities with no dominant market position in any geography; market share is determined by regulatory franchise areas, not competitive dynamics. Product Pipeline (0/2): No transformative pipeline beyond routine rate base expansion through regulated utility capital investment at 5-6% CAGR [1]. R&amp;D Intensity (0/1): Regulated utilities invest negligibly in R&amp;D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AQN has a sustainability-oriented identity — founded 33 years ago as a renewable energy developer with a net-zero by 2050 target and 10% ESG weighting in executive compensation [3]. However, the mission is not distinctive among utility peers and the strategic pivot away from renewables toward pure-play regulated utility somewhat undermines the original environmental purpose. Community Impact (1/2): As a regulated utility serving communities directly, AQN has inherent community impact through essential service delivery. The company publishes ESG reports and received an S&amp;P Global ESG evaluation score of 79, with Sustainalytics rating its ESG risk management as strong [3][4]. Employee Retention (0/2): Headcount declined 20.4% from 4,046 to 3,223 over three years of restructuring, and CEO turnover (Banskota resigned 2023, Huskilson interim, West appointed 2025) signals organizational instability [2].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Forward P/E of 12.86 is well below the 20x target (score 1.0, 1x weight), offering attractive valuation relative to utility peers [5]. Consecutive years paid of 20+ scores 1.0 (2x weight), reflecting AQN's long dividend payment history despite the 2023 cut [5]. Revenue growth YoY of 3.1% scores 0.77 (1x weight), and D/E of 133.5% scores 0.72 (1x weight). The major drags are ROE of 2.49% (score 0.17, 1x weight), well below the 15% target and among the lowest in the utility sector; profit margin of 5.87% (score 0.29, 1x weight); payout ratio of ~72% (score 0.47, 1x weight); and the devastated dividend growth profile after the 2023 cut from $0.72 to $0.26/year — consecutive years of growth scores 0.1 (1x weight) and 5yr dividend growth CAGR of approximately -18% scores 0.0 (2x weight). Daily dollar volume of $21.5M passes the liquidity floor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Algonquin Power is playing a finite game — focused on financial survival and restructuring rather than advancing a long-term cause. The 2023 dividend cut, 20% workforce reduction, three CEO changes in three years, and forced pivot away from the founding renewable energy mission all reflect short-term pragmatism over enduring purpose. Starboard Value's activist campaign and board pressure further demonstrate finite-game dynamics. Sinek would note that the company's strategic decisions have been driven by financial necessity and survival instinct, not a vision of a future worth building toward.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AQN has a stated sustainability mission rooted in its 33-year history as a renewable energy developer, with net-zero by 2050 targets and ESG reporting [3]. However, the strategic pivot away from renewable energy assets toward pure-play regulated utility directly contradicts the founding environmental purpose. Sinek would note that a company divesting its founding mission assets is not living its Just Cause — the cause exists as legacy positioning that leadership no longer prioritizes.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20.4% workforce reduction from 4,046 to 3,223 employees signals organizational instability and fear rather than psychological safety [2]. Three CEO transitions in three years (Banskota resigned August 2023, Huskilson interim, West appointed March 2025) and Starboard Value's activist campaign to replace directors compound the disruption. Employees in a restructuring environment with revolving leadership spend energy protecting themselves rather than advancing a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infinite-minded competitive thinking. As a regulated utility, AQN's competitive dynamics are limited to rate cases and regulatory proceedings rather than market competition. The company's strategic language focuses on 'transformation' and 'operational efficiency' rather than learning from peer utilities or acknowledging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AQN is executing a significant strategic shift from a diversified renewable energy and utility company to a pure-play regulated utility, divesting its founding renewable energy business [3]. This demonstrates organizational flexibility. However, the pivot was driven by financial necessity — an overleveraged balance sheet and failed Kentucky Power acquisition — rather than a cause-driven vision. It was a forced retreat, not a transformative reinvention in Sinek's sense.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AQN's major decisions — cutting the dividend by 64%, divesting renewable assets, reducing workforce by 20%, abandoning the Kentucky Power acquisition — were survival decisions driven by financial necessity, not courageous long-term bets [1]. Rod West's appointment represents a pragmatic choice for operational stabilization, not a transformative vision. Sinek distinguishes between courage (choosing right over easy) and pragmatism (choosing necessary over optional).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Algonquin Power at $5.25 (12.9x forward earnings) offers a turnaround utility story with downside protection from regulated rate-of-return operations and a 4.95% dividend yield. Q1 2026 revenue grew 14.4% to $792.4M with adjusted net earnings of $99.6M, and management guides 2026 adjusted EPS of $0.35-$0.37 with 5-6% rate base CAGR through 2028 [1]. The pure-play regulated utility transformation under CEO Rod West (25-year Entergy veteran) simplifies the business model and could trigger a valuation re-rating toward regulated utility peer multiples of 15-18x forward earnings. At $5.25, the stock trades at the lowest P/E among North American diversified utilities, implying the market has not yet credited the restructuring progress. AI-driven data center electricity demand growth provides a secular tailwind for regulated utility rate base expansion [4].</w:t>
      </w:r>
    </w:p>
    <w:p>
      <w:pPr>
        <w:spacing w:after="120"/>
      </w:pPr>
      <w:r>
        <w:rPr>
          <w:rFonts w:ascii="Calibri" w:hAnsi="Calibri"/>
          <w:b w:val="0"/>
          <w:color w:val="3A4A28"/>
          <w:sz w:val="20"/>
        </w:rPr>
        <w:t>The bear case centers on execution risk, weak profitability, and a severely damaged dividend track record. ROE of 2.49% is among the lowest in the utility sector, reflecting dilutive returns from years of poorly-timed acquisitions and overleveraged expansion [5]. Revenue growth has slowed to 3.1% YoY (from 14.4% in Q1), and earnings growth of -95.4% demonstrates the business is not yet generating consistent returns. The dividend cut of 64% from $0.72 to $0.26/year in 2023 will take years to repair — income investors have long memories, and the payout ratio of ~72% leaves limited room for increases without earnings acceleration. Three CEO changes in three years (Banskota, Huskilson, West) and Starboard Value's activist campaign reveal governance instability that could resurface [2]. D/E of 133.5% limits financial flexibility for growth investment. The Inspire Impact Score of 0 (MIXED) with no attributions reflects minimal ESG differentiation despite the company's sustainability heritage.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Pure-play utility transformation completion — successful divestiture of remaining non-regulated assets could trigger valuation re-rating toward regulated utility peer multiples of 15-18x forward earnings from current 12.9x [3]</w:t>
      </w:r>
    </w:p>
    <w:p>
      <w:pPr>
        <w:spacing w:before="40" w:after="40"/>
        <w:ind w:left="283"/>
      </w:pPr>
      <w:r>
        <w:rPr>
          <w:rFonts w:ascii="Calibri" w:hAnsi="Calibri"/>
          <w:b/>
          <w:color w:val="4A6B25"/>
          <w:sz w:val="20"/>
        </w:rPr>
        <w:t xml:space="preserve">2. </w:t>
      </w:r>
      <w:r>
        <w:rPr>
          <w:rFonts w:ascii="Calibri" w:hAnsi="Calibri"/>
          <w:b w:val="0"/>
          <w:color w:val="3A4A28"/>
          <w:sz w:val="20"/>
        </w:rPr>
        <w:t>Rate base growth of 5-6% CAGR through 2028 from regulated utility capital investment programs, providing predictable earnings growth that supports eventual dividend increases [1]</w:t>
      </w:r>
    </w:p>
    <w:p>
      <w:pPr>
        <w:spacing w:before="40" w:after="40"/>
        <w:ind w:left="283"/>
      </w:pPr>
      <w:r>
        <w:rPr>
          <w:rFonts w:ascii="Calibri" w:hAnsi="Calibri"/>
          <w:b/>
          <w:color w:val="4A6B25"/>
          <w:sz w:val="20"/>
        </w:rPr>
        <w:t xml:space="preserve">3. </w:t>
      </w:r>
      <w:r>
        <w:rPr>
          <w:rFonts w:ascii="Calibri" w:hAnsi="Calibri"/>
          <w:b w:val="0"/>
          <w:color w:val="3A4A28"/>
          <w:sz w:val="20"/>
        </w:rPr>
        <w:t>AI-driven data center electricity demand in AQN service territories could accelerate rate base investment and earnings beyond current projections as hyperscalers seek utility partnerships for power supply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Severely damaged dividend credibility after the 64% cut from $0.72 to $0.26/year in 2023 and 5yr dividend growth CAGR of -18% — rebuilding a consecutive growth track record will take 5-10 years, and income investors may avoid AQN until the record is re-established [5]</w:t>
      </w:r>
    </w:p>
    <w:p>
      <w:pPr>
        <w:spacing w:before="40" w:after="40"/>
        <w:ind w:left="283"/>
      </w:pPr>
      <w:r>
        <w:rPr>
          <w:rFonts w:ascii="Calibri" w:hAnsi="Calibri"/>
          <w:b/>
          <w:color w:val="4A6B25"/>
          <w:sz w:val="20"/>
        </w:rPr>
        <w:t xml:space="preserve">2. </w:t>
      </w:r>
      <w:r>
        <w:rPr>
          <w:rFonts w:ascii="Calibri" w:hAnsi="Calibri"/>
          <w:b w:val="0"/>
          <w:color w:val="3A4A28"/>
          <w:sz w:val="20"/>
        </w:rPr>
        <w:t>ROE of 2.49% suggests the regulated utility asset base is generating inadequate returns on invested capital, potentially indicating regulatory headwinds, operational inefficiency, or stranded asset risk from the strategic transformation [5]</w:t>
      </w:r>
    </w:p>
    <w:p>
      <w:pPr>
        <w:spacing w:before="40" w:after="40"/>
        <w:ind w:left="283"/>
      </w:pPr>
      <w:r>
        <w:rPr>
          <w:rFonts w:ascii="Calibri" w:hAnsi="Calibri"/>
          <w:b/>
          <w:color w:val="4A6B25"/>
          <w:sz w:val="20"/>
        </w:rPr>
        <w:t xml:space="preserve">3. </w:t>
      </w:r>
      <w:r>
        <w:rPr>
          <w:rFonts w:ascii="Calibri" w:hAnsi="Calibri"/>
          <w:b w:val="0"/>
          <w:color w:val="3A4A28"/>
          <w:sz w:val="20"/>
        </w:rPr>
        <w:t>Leadership and governance instability — three CEO transitions in three years and Starboard Value's board campaign demonstrate organizational fragility that could resurface if the turnaround stalls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Regulated utilities are structurally immune to AI disruption. Physical electric grids, water treatment plants, natural gas distribution networks, and wastewater systems cannot be replaced by software [1]. AQN's revenue is derived from regulated rate tariffs approved by public utility commissions — AI cannot displace the essential infrastructure that delivers electricity, water, and gas to homes and businesses. AI increases demand for utility services as data centers require massive electricity and water for cooling. Regulatory moats (franchise territories, rate-of-return regulation) create structural barriers that AI cannot breach. AI Opportunity (0/1): AQN does not generate revenue from AI products or services; no specific AI-driven operational savings have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Algonquin Power Q1 2026 Earnings — Revenue $792.4M (+14.4% YoY), Adj Net Earnings $99.6M, EPS Guidance $0.35-$0.37, 5-6% Rate Base CAGR — SEC 6-K/TipRanks/Investing.com, May 2026</w:t>
      </w:r>
    </w:p>
    <w:p>
      <w:pPr>
        <w:spacing w:before="20" w:after="20"/>
        <w:ind w:left="170"/>
      </w:pPr>
      <w:r>
        <w:rPr>
          <w:rFonts w:ascii="Calibri" w:hAnsi="Calibri"/>
          <w:b/>
          <w:color w:val="4A6B25"/>
          <w:sz w:val="15"/>
        </w:rPr>
        <w:t xml:space="preserve">2. </w:t>
      </w:r>
      <w:r>
        <w:rPr>
          <w:rFonts w:ascii="Calibri" w:hAnsi="Calibri"/>
          <w:b w:val="0"/>
          <w:color w:val="3A4A28"/>
          <w:sz w:val="17"/>
        </w:rPr>
        <w:t>Algonquin Power Leadership — Rod West CEO (March 2025, ex-Entergy 25 years), Banskota Resigned August 2023, Starboard Value Activist Campaign — Globe and Mail/TD World/Seeking Alpha, 2023-2025</w:t>
      </w:r>
    </w:p>
    <w:p>
      <w:pPr>
        <w:spacing w:before="20" w:after="20"/>
        <w:ind w:left="170"/>
      </w:pPr>
      <w:r>
        <w:rPr>
          <w:rFonts w:ascii="Calibri" w:hAnsi="Calibri"/>
          <w:b/>
          <w:color w:val="4A6B25"/>
          <w:sz w:val="15"/>
        </w:rPr>
        <w:t xml:space="preserve">3. </w:t>
      </w:r>
      <w:r>
        <w:rPr>
          <w:rFonts w:ascii="Calibri" w:hAnsi="Calibri"/>
          <w:b w:val="0"/>
          <w:color w:val="3A4A28"/>
          <w:sz w:val="17"/>
        </w:rPr>
        <w:t>Algonquin Power Strategic Transformation — Pure-Play Utility Pivot, Renewable Energy Divestiture, Net-Zero by 2050, ESG Reporting, 10% ESG Compensation — algonquinpower.com, 2024-2026</w:t>
      </w:r>
    </w:p>
    <w:p>
      <w:pPr>
        <w:spacing w:before="20" w:after="20"/>
        <w:ind w:left="170"/>
      </w:pPr>
      <w:r>
        <w:rPr>
          <w:rFonts w:ascii="Calibri" w:hAnsi="Calibri"/>
          <w:b/>
          <w:color w:val="4A6B25"/>
          <w:sz w:val="15"/>
        </w:rPr>
        <w:t xml:space="preserve">4. </w:t>
      </w:r>
      <w:r>
        <w:rPr>
          <w:rFonts w:ascii="Calibri" w:hAnsi="Calibri"/>
          <w:b w:val="0"/>
          <w:color w:val="3A4A28"/>
          <w:sz w:val="17"/>
        </w:rPr>
        <w:t>Algonquin Power ESG — S&amp;P Global Score 79, Sustainalytics Strong Management Rating, Community Relations Exposure — S&amp;P/Sustainalytics, 2021-2025</w:t>
      </w:r>
    </w:p>
    <w:p>
      <w:pPr>
        <w:spacing w:before="20" w:after="20"/>
        <w:ind w:left="170"/>
      </w:pPr>
      <w:r>
        <w:rPr>
          <w:rFonts w:ascii="Calibri" w:hAnsi="Calibri"/>
          <w:b/>
          <w:color w:val="4A6B25"/>
          <w:sz w:val="15"/>
        </w:rPr>
        <w:t xml:space="preserve">5. </w:t>
      </w:r>
      <w:r>
        <w:rPr>
          <w:rFonts w:ascii="Calibri" w:hAnsi="Calibri"/>
          <w:b w:val="0"/>
          <w:color w:val="3A4A28"/>
          <w:sz w:val="17"/>
        </w:rPr>
        <w:t>Yahoo Finance — AQN Key Statistics: Price $5.25, Market Cap $4.04B, Forward PE 12.86, ROE 2.49%, D/E 133.5%, Profit Margin 5.87%, Dividend Yield 4.95%, Avg Volume 4.10M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