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ARE</w:t>
      </w:r>
      <w:r>
        <w:rPr>
          <w:rFonts w:ascii="Calibri" w:hAnsi="Calibri"/>
          <w:b/>
          <w:color w:val="1A2010"/>
          <w:sz w:val="40"/>
        </w:rPr>
        <w:t xml:space="preserve">  Alexandria Real Estate Equities, Inc.</w:t>
      </w:r>
    </w:p>
    <w:p>
      <w:pPr>
        <w:spacing w:after="120"/>
      </w:pPr>
      <w:r>
        <w:rPr>
          <w:rFonts w:ascii="Calibri" w:hAnsi="Calibri"/>
          <w:b/>
          <w:color w:val="6E8450"/>
          <w:sz w:val="18"/>
        </w:rPr>
        <w:t>DIVIDEND SLEEVE · 2026-09-06 · Inspire: 80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Real Estate · REIT - Office · NYSE · United States</w:t>
      </w:r>
    </w:p>
    <w:p>
      <w:pPr>
        <w:spacing w:after="80"/>
      </w:pPr>
      <w:r>
        <w:rPr>
          <w:rFonts w:ascii="Calibri" w:hAnsi="Calibri"/>
          <w:b w:val="0"/>
          <w:color w:val="3A4A28"/>
          <w:sz w:val="20"/>
        </w:rPr>
        <w:t>Alexandria Real Estate Equities is the pioneering and dominant life science REIT, owning and operating purpose-built lab/office campuses in major biopharma clusters including Greater Boston, San Francisco, San Diego, New York City, Seattle, and Research Triangle. Founded by Joel Marcus 32 years ago, ARE has established four strategic verticals: real estate, venture investments, thought leadership, and corporate responsibility. 39% of the 44 novel therapies approved by the FDA in 2025 were developed or commercialized by ARE tenants. The company reported Q2 2026 FFO as adjusted of $1.73 per share, but faces significant headwinds with occupancy declining to 86.9% and revenue down approximately 13% YoY amid a life sciences real estate downturn.</w:t>
      </w:r>
    </w:p>
    <w:p>
      <w:r>
        <w:rPr>
          <w:rFonts w:ascii="Calibri" w:hAnsi="Calibri"/>
          <w:b/>
          <w:color w:val="6E8450"/>
          <w:sz w:val="18"/>
        </w:rPr>
        <w:t>600 Employees · https://www.are.com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Alexandria pioneered the life science real estate category 32 years ago, creating purpose-built lab/office ecosystems that house companies responsible for 39% of 2025 FDA novel therapy approvals [1][2]. The integrated platform spanning real estate, venture investments (second most active early-stage life science investor in NYC), thought leadership, and corporate responsibility is genuinely differentiated [3]. However, the core business is currently struggling with occupancy declining from 91.7% to 86.9% and revenue down ~13% YoY [4]. AI Deployment (0/2): Alexandria is a real estate company with no AI-powered products or quantified AI-driven operational savings. Market Share (2/2): ARE is the undisputed leader in life science real estate with the largest portfolio of purpose-built lab campuses in every major U.S. biopharma cluster — no other REIT approaches its scale or cluster density in this specialized niche [1]. Pipeline (0/2): The development pipeline faces significant uncertainty — just 6% of Q2 2026 lease signings were from public biotech companies, occupancy is declining, and 35% of 2026 expiring leases had not been renewed as of the most recent reporting period [4]. R&amp;D Intensity (0/1): Real estate company with no R&amp;D expenditure.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(4/4): Joel Marcus founded Alexandria with a transformative vision of creating life science ecosystems to advance human health — a purpose validated by 32 years of consistent execution [2]. 39% of 2025 FDA-approved novel therapies were developed by ARE tenants, proving the mission IS the competitive advantage [1]. Strategic decisions consistently trace back to this purpose: which clusters to build, which tenants to cultivate, how to integrate venture investing with real estate. Marcus was honored with the Richard J. Bolte Sr. Award for 'consequential long-term impact on the life science industry' [2]. Community Impact (1/2): Corporate responsibility is one of ARE's four strategic verticals, and the company has measurable impact on advancing human health through its tenant ecosystem, though specific philanthropic dollar amounts for community programs were not identified [3]. Employee Retention (1/2): ARE was ranked 16th in talent readiness among all S&amp;P 500 companies by the Wall Street Journal, and highest-ranked equity REIT — the evaluation included AI readiness, innovation, resilience, and agility [5]. Marcus's 'egoless leadership' culture of 'idea meritocracy and operational excellence' is cited as a differentiator. Insider Buying (0/2): No evidence of net insider buying by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with Forward P/E excluded as not meaningful for a REIT (GAAP earnings heavily distorted by depreciation, impairments, and property sale gains/losses). D/E of 67% is conservative and well below the 70% target, reflecting disciplined capital structure for a real estate company [6]. ROE of -5.86% is negative, reflecting GAAP net losses driven by property impairments and the life science downturn [6]. Revenue declined approximately 13% YoY as occupancy fell and leasing activity slowed [4], though 5-year revenue CAGR of ~7.5% reflects the longer-term growth trajectory [6]. GAAP profit margin is deeply negative at -47.7% due to large impairment charges and REIT-specific depreciation [4]. Dividend payout ratio of 45.2% (FFO-based) is well-covered, but the dividend was reduced from ~$5.08 to $2.88 annually — consecutive years of growth reset to zero. Liquidity floor easily cleared with ~$185M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Alexandria stands out among REITs with a genuinely transformative Just Cause — Joel Marcus's 32-year mission to advance human health through life science ecosystems is one of the strongest examples of purpose-driven real estate in public markets. The company demonstrates courage in maintaining long-term development commitments through industry downturns, though the recent dividend cut and operational challenges test whether the cause can sustain through severe adversity.</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Joel Marcus founded Alexandria 32 years ago with a vision of creating life science ecosystems to advance human health — and every strategic decision since has served that purpose [2]. The Just Cause has survived market crises, leadership evolution (Marcus transitioning to Executive Chairman), and the current severe life science downturn. The purpose IS the competitive advantage: 39% of FDA-approved novel therapies come from ARE tenants precisely because Marcus built clusters that catalyze innovation [1]. Strategic decisions — which tenants to attract, where to build, how to integrate venture investing — clearly trace back to this cause. Sinek would cite this company as an example of Just Cause in action.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ARE was ranked 16th among S&amp;P 500 companies for talent readiness by the Wall Street Journal, the highest-ranked equity REIT [5]. Marcus's culture of 'idea meritocracy and operational excellence' and 'egoless leadership' suggests an environment where ideas are valued over hierarchy. The multi-decade leadership continuity provides stability. However, the company has a relatively small workforce (~600 employees) and no specific data on employee tenure, voluntary turnover, or cultural practices was identified beyond these characterizations.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ARE positions itself through mission impact and cluster quality rather than competitive destruction. Management language consistently focuses on 'advancing human health' and 'catalyzing innovation' rather than beating rival REITs [2][3]. The company acknowledges the challenging market environment transparently and focuses on its differentiated platform rather than competitor weaknesses, consistent with an infinite competitive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ARE has expanded from pure real estate ownership into an integrated platform with four verticals — real estate, venture investments, thought leadership, and corporate responsibility — driven by the mission of advancing human health [3]. Alexandria Venture Investments has become the second most active early-stage life science investor in NYC. However, the core business model remains life science real estate, and the company has not made a transformative pivot away from this model despite current headwinds.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ARE has continued developing new life science campuses and maintaining its mission-driven tenant strategy through multiple biotech downturns, including the current severe cycle where occupancy has dropped to 86.9% and public biotech leasing has essentially stopped [4]. Management acknowledged the challenges transparently — Marcus called the lack of public biotech lease signings 'unheard of' — while maintaining conviction in the long-term thesis [4]. However, the significant dividend cut from ~$5.08 to $2.88 annually, while potentially prudent capital management, signals reactive adjustment under financial pressure rather than proactive long-term courage.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Alexandria represents an asymmetric setup in irreplaceable life science real estate — the stock trades at depressed levels (5.4% dividend yield, P/FFO of ~8.3x) reflecting a severe biotech funding drought that has driven occupancy to 86.9% and compressed near-term earnings [4][6]. The long-term thesis remains intact: ARE owns purpose-built lab campuses in the most valuable biopharma clusters in the world, tenants developed 39% of 2025 FDA novel therapies, and the physical infrastructure required for drug development cannot be replicated or displaced [1]. If biotech funding normalizes, occupancy recovers, and leasing activity resumes, the stock has significant re-rating potential from current trough-cycle valuations.</w:t>
      </w:r>
    </w:p>
    <w:p>
      <w:pPr>
        <w:spacing w:after="120"/>
      </w:pPr>
      <w:r>
        <w:rPr>
          <w:rFonts w:ascii="Calibri" w:hAnsi="Calibri"/>
          <w:b w:val="0"/>
          <w:color w:val="3A4A28"/>
          <w:sz w:val="20"/>
        </w:rPr>
        <w:t>The bear case is that the life science real estate downturn may persist — public biotech companies signed just 6% of Q2 2026 leases, and 35% of 2026 expiring leases remain unsigned [4]. Revenue has declined approximately 13% YoY, FFO is expected to drop 29.3% in FY2026, and the dividend was cut 43% from $5.08 to $2.88 annually, resetting years of consecutive growth [6]. Immigration restrictions limit access to international research talent, creating structural headwinds for the U.S. biomedical industry that ARE depends on [4]. The negative ROE of -5.86% and GAAP losses exceeding $1B signal genuine financial stress, not just REIT accounting distortion. If occupancy continues declining below 85%, further dividend cuts and capital raises may be necessary.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Biotech funding recovery driving improved leasing activity and occupancy stabilization — historical cycles show strong rebounds in life science real estate demand following funding droughts</w:t>
      </w:r>
    </w:p>
    <w:p>
      <w:pPr>
        <w:spacing w:before="40" w:after="40"/>
        <w:ind w:left="283"/>
      </w:pPr>
      <w:r>
        <w:rPr>
          <w:rFonts w:ascii="Calibri" w:hAnsi="Calibri"/>
          <w:b/>
          <w:color w:val="4A6B25"/>
          <w:sz w:val="20"/>
        </w:rPr>
        <w:t xml:space="preserve">2. </w:t>
      </w:r>
      <w:r>
        <w:rPr>
          <w:rFonts w:ascii="Calibri" w:hAnsi="Calibri"/>
          <w:b w:val="0"/>
          <w:color w:val="3A4A28"/>
          <w:sz w:val="20"/>
        </w:rPr>
        <w:t>AI-driven drug discovery accelerating the pharmaceutical pipeline, increasing demand for physical wet lab and clinical development space that only purpose-built life science campuses can provide</w:t>
      </w:r>
    </w:p>
    <w:p>
      <w:pPr>
        <w:spacing w:before="40" w:after="40"/>
        <w:ind w:left="283"/>
      </w:pPr>
      <w:r>
        <w:rPr>
          <w:rFonts w:ascii="Calibri" w:hAnsi="Calibri"/>
          <w:b/>
          <w:color w:val="4A6B25"/>
          <w:sz w:val="20"/>
        </w:rPr>
        <w:t xml:space="preserve">3. </w:t>
      </w:r>
      <w:r>
        <w:rPr>
          <w:rFonts w:ascii="Calibri" w:hAnsi="Calibri"/>
          <w:b w:val="0"/>
          <w:color w:val="3A4A28"/>
          <w:sz w:val="20"/>
        </w:rPr>
        <w:t>Development pipeline delivery at trough-cycle construction costs, positioning ARE to capture rising rents when the market recovers with limited new competitive supply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Prolonged biotech funding drought — if venture capital and IPO markets for life science companies remain depressed through 2027, occupancy could decline below 85% and force further dividend cuts</w:t>
      </w:r>
    </w:p>
    <w:p>
      <w:pPr>
        <w:spacing w:before="40" w:after="40"/>
        <w:ind w:left="283"/>
      </w:pPr>
      <w:r>
        <w:rPr>
          <w:rFonts w:ascii="Calibri" w:hAnsi="Calibri"/>
          <w:b/>
          <w:color w:val="4A6B25"/>
          <w:sz w:val="20"/>
        </w:rPr>
        <w:t xml:space="preserve">2. </w:t>
      </w:r>
      <w:r>
        <w:rPr>
          <w:rFonts w:ascii="Calibri" w:hAnsi="Calibri"/>
          <w:b w:val="0"/>
          <w:color w:val="3A4A28"/>
          <w:sz w:val="20"/>
        </w:rPr>
        <w:t>Immigration restrictions limiting access to international research talent could structurally reduce demand for U.S. life science lab space, particularly in ARE's key Boston and San Francisco clusters</w:t>
      </w:r>
    </w:p>
    <w:p>
      <w:pPr>
        <w:spacing w:before="40" w:after="40"/>
        <w:ind w:left="283"/>
      </w:pPr>
      <w:r>
        <w:rPr>
          <w:rFonts w:ascii="Calibri" w:hAnsi="Calibri"/>
          <w:b/>
          <w:color w:val="4A6B25"/>
          <w:sz w:val="20"/>
        </w:rPr>
        <w:t xml:space="preserve">3. </w:t>
      </w:r>
      <w:r>
        <w:rPr>
          <w:rFonts w:ascii="Calibri" w:hAnsi="Calibri"/>
          <w:b w:val="0"/>
          <w:color w:val="3A4A28"/>
          <w:sz w:val="20"/>
        </w:rPr>
        <w:t>Rising interest rates and wider credit spreads increase ARE's cost of capital for new development projects while compressing cap rates on existing properties, squeezing investment returns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Alexandria's core business is physical real estate — purpose-built laboratory and office campuses that cannot be virtualized or replaced by AI [1]. Life science research requires wet labs, cleanrooms, vivaria, and specialized infrastructure that must exist in the physical world. AI-driven drug discovery and computational biology actually increase demand for lab space by accelerating the pipeline of compounds requiring physical testing, cell culture, and animal studies. The risk is not AI disruption but biotech funding cycles, which are economically driven rather than technology-driven. AI Opportunity (0/1): ARE generates no AI-related revenue. The company is a landlord to life science tenants, not a technology developer. While ARE's tenant base includes AI-driven biotech companies, this benefit flows to tenants, not to ARE's revenue directly.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80</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Alexandria Real Estate Equities 2Q26 Press Release — FFO per share diluted as adjusted of $1.73, net loss of $(0.43), PRNewswire, July 2026</w:t>
      </w:r>
    </w:p>
    <w:p>
      <w:pPr>
        <w:spacing w:before="20" w:after="20"/>
        <w:ind w:left="170"/>
      </w:pPr>
      <w:r>
        <w:rPr>
          <w:rFonts w:ascii="Calibri" w:hAnsi="Calibri"/>
          <w:b/>
          <w:color w:val="4A6B25"/>
          <w:sz w:val="15"/>
        </w:rPr>
        <w:t xml:space="preserve">2. </w:t>
      </w:r>
      <w:r>
        <w:rPr>
          <w:rFonts w:ascii="Calibri" w:hAnsi="Calibri"/>
          <w:b w:val="0"/>
          <w:color w:val="3A4A28"/>
          <w:sz w:val="17"/>
        </w:rPr>
        <w:t>Alexandria Real Estate Equities Celebrates 32 Years of Pioneering Leadership — 39% of FDA novel therapies from ARE tenants, PRNewswire, June 2026</w:t>
      </w:r>
    </w:p>
    <w:p>
      <w:pPr>
        <w:spacing w:before="20" w:after="20"/>
        <w:ind w:left="170"/>
      </w:pPr>
      <w:r>
        <w:rPr>
          <w:rFonts w:ascii="Calibri" w:hAnsi="Calibri"/>
          <w:b/>
          <w:color w:val="4A6B25"/>
          <w:sz w:val="15"/>
        </w:rPr>
        <w:t xml:space="preserve">3. </w:t>
      </w:r>
      <w:r>
        <w:rPr>
          <w:rFonts w:ascii="Calibri" w:hAnsi="Calibri"/>
          <w:b w:val="0"/>
          <w:color w:val="3A4A28"/>
          <w:sz w:val="17"/>
        </w:rPr>
        <w:t>Alexandria Real Estate Equities — Second Most Active Early-Stage Life Science Investor in NYC, PRNewswire, August 2026</w:t>
      </w:r>
    </w:p>
    <w:p>
      <w:pPr>
        <w:spacing w:before="20" w:after="20"/>
        <w:ind w:left="170"/>
      </w:pPr>
      <w:r>
        <w:rPr>
          <w:rFonts w:ascii="Calibri" w:hAnsi="Calibri"/>
          <w:b/>
          <w:color w:val="4A6B25"/>
          <w:sz w:val="15"/>
        </w:rPr>
        <w:t xml:space="preserve">4. </w:t>
      </w:r>
      <w:r>
        <w:rPr>
          <w:rFonts w:ascii="Calibri" w:hAnsi="Calibri"/>
          <w:b w:val="0"/>
          <w:color w:val="3A4A28"/>
          <w:sz w:val="17"/>
        </w:rPr>
        <w:t>Bisnow — Alexandria Posts $1B Loss, Forecasts More Challenges For Lab Leasing; Leasing Slides Amid 'Very Tough Operating Environment', 2026</w:t>
      </w:r>
    </w:p>
    <w:p>
      <w:pPr>
        <w:spacing w:before="20" w:after="20"/>
        <w:ind w:left="170"/>
      </w:pPr>
      <w:r>
        <w:rPr>
          <w:rFonts w:ascii="Calibri" w:hAnsi="Calibri"/>
          <w:b/>
          <w:color w:val="4A6B25"/>
          <w:sz w:val="15"/>
        </w:rPr>
        <w:t xml:space="preserve">5. </w:t>
      </w:r>
      <w:r>
        <w:rPr>
          <w:rFonts w:ascii="Calibri" w:hAnsi="Calibri"/>
          <w:b w:val="0"/>
          <w:color w:val="3A4A28"/>
          <w:sz w:val="17"/>
        </w:rPr>
        <w:t>Wall Street Journal — Alexandria Recognized Among Top 20 Companies for Talent Readiness, 2026</w:t>
      </w:r>
    </w:p>
    <w:p>
      <w:pPr>
        <w:spacing w:before="20" w:after="20"/>
        <w:ind w:left="170"/>
      </w:pPr>
      <w:r>
        <w:rPr>
          <w:rFonts w:ascii="Calibri" w:hAnsi="Calibri"/>
          <w:b/>
          <w:color w:val="4A6B25"/>
          <w:sz w:val="15"/>
        </w:rPr>
        <w:t xml:space="preserve">6. </w:t>
      </w:r>
      <w:r>
        <w:rPr>
          <w:rFonts w:ascii="Calibri" w:hAnsi="Calibri"/>
          <w:b w:val="0"/>
          <w:color w:val="3A4A28"/>
          <w:sz w:val="17"/>
        </w:rPr>
        <w:t>StockAnalysis.com — ARE Statistics, Valuation, and Dividend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