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ARM</w:t>
      </w:r>
      <w:r>
        <w:rPr>
          <w:rFonts w:ascii="Calibri" w:hAnsi="Calibri"/>
          <w:b/>
          <w:color w:val="1A2010"/>
          <w:sz w:val="40"/>
        </w:rPr>
        <w:t xml:space="preserve">  Arm Holdings plc</w:t>
      </w:r>
    </w:p>
    <w:p>
      <w:pPr>
        <w:spacing w:after="120"/>
      </w:pPr>
      <w:r>
        <w:rPr>
          <w:rFonts w:ascii="Calibri" w:hAnsi="Calibri"/>
          <w:b/>
          <w:color w:val="6E8450"/>
          <w:sz w:val="18"/>
        </w:rPr>
        <w:t>GROWTH SLEEVE · 2026-10-15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NMS · United Kingdom</w:t>
      </w:r>
    </w:p>
    <w:p>
      <w:pPr>
        <w:spacing w:after="80"/>
      </w:pPr>
      <w:r>
        <w:rPr>
          <w:rFonts w:ascii="Calibri" w:hAnsi="Calibri"/>
          <w:b w:val="0"/>
          <w:color w:val="3A4A28"/>
          <w:sz w:val="20"/>
        </w:rPr>
        <w:t>Arm Holdings plc designs and licenses CPU architectures, systems IP, and related technologies to semiconductor companies and OEMs worldwide. Arm's architecture powers over 99% of smartphones, a growing share of data center and AI chips, and over 280 billion cumulative chips shipped. The company operates on a royalty-and-licensing model. FY2026 (ended March 2026) revenue reached a record $4.92B (+23% YoY), with Q1 FY2027 delivering $1.29B (+22% YoY) and non-GAAP EPS of $0.45 (+29% YoY), marking the fourth consecutive billion-dollar revenue quarter.</w:t>
      </w:r>
    </w:p>
    <w:p>
      <w:r>
        <w:rPr>
          <w:rFonts w:ascii="Calibri" w:hAnsi="Calibri"/>
          <w:b/>
          <w:color w:val="6E8450"/>
          <w:sz w:val="18"/>
        </w:rPr>
        <w:t>7,500 Employees · https://www.arm.com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Arm successfully expanded from mobile-dominant architecture into data center, automotive, and AI inference markets over the past five years, with the Neoverse platform enabling cloud-native server chips from AWS Graviton, Microsoft Cobalt, and NVIDIA Grace [1]. Data center royalties more than doubled YoY in Q4 FY2026, validating this strategic expansion, though the core IP licensing business model remains fundamentally unchanged [1]. AI Deployment (1/2): Arm's Compute Sub-Systems for AI ship in partner chips optimized for edge and data center inference, and Arm-based chips power the majority of AI smartphones and edge devices globally; however, Arm enables AI rather than shipping direct AI products, limiting measurable AI-specific revenue attribution [1][3]. Market Share (2/2): Arm holds 99%+ of the smartphone CPU architecture market and is the fastest-growing architecture in data centers, with over 15% cloud instance share and accelerating adoption driven by superior performance-per-watt versus x86 — every major AI chip maker (NVIDIA, Qualcomm, Apple, Google, Amazon) licenses Arm architecture [1][2]. Product Pipeline (1/2): Armv9.2 architecture, Neoverse V3/N3 platforms, and CSS for AI are named products with visibility, and Q2 FY2027 guidance of $1.38B provides near-term confidence, though specific next-generation launch dates beyond current products remain less defined than NVIDIA's Rubin roadmap [3]. R&amp;D Intensity (1/1): Arm invested approximately $2.1B in R&amp;D in FY2026 (~43% of revenue), among the highest ratios in semiconductors, reflecting the pure-IP business model requiring continuous architectural innovation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Arm's stated purpose — 'We create transformative technology to help people and businesses thrive' — identifies what the company does and for whom but lacks distinctive depth; the language is interchangeable with many technology companies despite the genuinely transformative real-world impact of 280 billion+ chips enabling universal computing access [2]. Community Impact (1/2): Arm for Startups provides free IP access and engineering support to early-stage companies, and Arm Education partners with universities globally to bring computing curriculum to underserved markets, but specific charitable dollar amounts or measurable community development outcomes are not publicly quantified [2]. Employee Retention (0/2): CEO Rene Haas reformed the leadership team within weeks of succeeding Simon Segars in February 2022, and former employees report the 'old Arm culture is being eroded into something more akin to a Silicon Valley tech company,' suggesting organizational disruption [2]. No specific voluntary turnover rates or average tenure data are publicly available. Insider Buying (0/2): No evidence of meaningful net insider buying by CEO Haas or senior executives in the last 12 months; the proposed performance-based CEO bonus of up to $800M drew criticism from proxy advisers ISS and Glass Lewis, and executive compensation is oriented toward equity grants and performance bonuses rather than open-market purchases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Arm's balance sheet is pristine with D/E of just 5.6% (score 1.0), reflecting the capital-light IP licensing model requiring minimal debt [1]. ROE of 13.4% falls slightly below the 15% target (score 0.89, 2x weight), constrained by the growing equity base post-IPO. Revenue growth of 22.4% YoY exceeds the 10% target (score 1.0), and estimated 5-year revenue CAGR of ~19% also scores at ceiling (1.0, 2x weight), driven by three consecutive fiscal years of 20%+ growth [1]. Profit margin of 20.2% meets the 20% target (score 1.0). However, extreme premium valuation creates significant drag: Forward P/E of 77.7x far exceeds the 60x floor (score 0.0), and estimated PEG of ~2.6 scores only 0.21 (2x weight). Daily dollar volume of $1.23B provides ample liquidity. Weighted sum: 7.19/10 = Infrastructure 7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Arm demonstrates meaningful infinite-game characteristics through 35 years of consistent commitment to energy-efficient computing architecture and a licensing model that inherently requires long-term ecosystem thinking. The successful expansion from mobile into data center and AI validates strategic consistency. However, the rapid leadership reformation under Rene Haas, governance concerns around the $800M CEO compensation package, and the October 2026 Qualcomm license verdict revealing friction in licensee relationships prevent it from reaching the highest tier. The ecosystem model inherently favors playing to keep playing, but SoftBank's 90%+ controlling stake raises questions about whether decisions prioritize the mission or portfolio optimization.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Arm's 35-year commitment to enabling efficient computing for billions through open architecture licensing reflects genuine intentionality — the decision to license IP rather than manufacture chips was purposeful, shaping an entire industry and putting computing power in 280 billion+ devices [2]. Leadership references this enabling mission in strategic decisions, and the expansion into data center and AI is consistent with the cause. However, the purpose has not been severely tested through crisis in the post-IPO era, and the stated mission language reads as corporate rather than deeply distinctive.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Arm maintains a generally stable engineering organization with employees who value the technical work, and reviews describe collaborative culture and supportive leadership [2]. However, CEO Haas's rapid leadership reformation within weeks of taking over and former employee reports that the 'old Arm culture is being eroded' indicate organizational disruption; mixed sentiment about management's delegation abilities and frequent direction changes resulting in redundancies suggest adequate but not exceptional trust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Arm demonstrates an infinite competitive mindset by using x86 competition (Intel, AMD) as motivation to improve performance-per-watt rather than attacking competitors — the company competes through ecosystem building and partner enablement rather than zero-sum destruction [1][2]. Arm's response to the RISC-V open-source threat has been to accelerate innovation and expand its value proposition through Compute Sub-Systems rather than litigating against the open architecture.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Arm evolved from a niche mobile-focused architecture company into a broad computing platform spanning data center (Neoverse), automotive, IoT, and AI inference over the past decade, with data center royalties more than doubling YoY [1]. The entry into server-class computing required significant R&amp;D investment and challenged the company's mobile-centric identity. However, the core business model (IP licensing and royalties) never fundamentally changed, making this an incremental expansion rather than a transformative reinvention in the Sinek sense.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Arm demonstrated courage by pushing the Armv9 architecture transition that increased royalty rates approximately 2x per chip, risking pushback from major licensees — a decision prioritizing long-term revenue quality over short-term licensee satisfaction [1]. R&amp;D investment at 43% of revenue during a period of margin scrutiny showed willingness to invest for long-term capability. However, the $800M CEO compensation package controversy and the October 2026 Delaware verdict finding Arm breached its Qualcomm license agreement — with potential implications for the $4.9B royalty structure — raise questions about governance discipline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Arm at $238 with a $254B market cap operates the semiconductor industry's most capital-efficient business model — a royalty toll-booth on 99% of smartphone CPUs and a rapidly growing share of AI data center chips. FY2026 revenue reached a record $4.92B (+23% YoY), with data center royalties more than doubling as AI workload expansion drives demand for energy-efficient Arm-based server chips from AWS Graviton, Microsoft Cobalt, and NVIDIA Grace [1]. The Armv9 architecture transition lifts royalty rates approximately 2x per chip, creating an organic growth driver independent of unit volume. With R&amp;D at 43% of revenue, profit margins crossing 20%, D/E of just 5.6%, and four consecutive billion-dollar revenue quarters, Arm compounds at 20%+ annually through a capital-light model requiring minimal capex [1][3].</w:t>
      </w:r>
    </w:p>
    <w:p>
      <w:pPr>
        <w:spacing w:after="120"/>
      </w:pPr>
      <w:r>
        <w:rPr>
          <w:rFonts w:ascii="Calibri" w:hAnsi="Calibri"/>
          <w:b w:val="0"/>
          <w:color w:val="3A4A28"/>
          <w:sz w:val="20"/>
        </w:rPr>
        <w:t>The bear case centers on extreme valuation and emerging threats. At 77.7x forward earnings and ~264x trailing PE, Arm prices in years of flawless 20%+ growth execution; any deceleration would trigger severe multiple compression — the stock already trades 12% below its 50-day SMA of $269.65 [1]. The October 2026 Delaware jury verdict finding Arm breached its Qualcomm license agreement, while awarding only $2 in nominal damages, raises structural questions about royalty enforcement durability — a challenge to a $4.9B royalty structure could embolden other licensees to renegotiate terms [4]. ROE of 13.4% remains below the 15% target as the growing post-IPO equity base dilutes capital efficiency. The RISC-V open-source architecture poses a long-term structural threat, with Google, Samsung, and Qualcomm investing in royalty-free RISC-V cores for IoT, automotive, and potentially data center applications, potentially eroding Arm's architectural near-monopoly over the next decade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expansion driving continued doubling of data center royalties as hyperscalers deploy Arm Neoverse-based custom silicon for AI inference and training, with cloud instance share exceeding 15% and accelerating [1]</w:t>
      </w:r>
    </w:p>
    <w:p>
      <w:pPr>
        <w:spacing w:before="40" w:after="40"/>
        <w:ind w:left="283"/>
      </w:pPr>
      <w:r>
        <w:rPr>
          <w:rFonts w:ascii="Calibri" w:hAnsi="Calibri"/>
          <w:b/>
          <w:color w:val="4A6B25"/>
          <w:sz w:val="20"/>
        </w:rPr>
        <w:t xml:space="preserve">2. </w:t>
      </w:r>
      <w:r>
        <w:rPr>
          <w:rFonts w:ascii="Calibri" w:hAnsi="Calibri"/>
          <w:b w:val="0"/>
          <w:color w:val="3A4A28"/>
          <w:sz w:val="20"/>
        </w:rPr>
        <w:t>Armv9 architecture adoption lifting royalty rates approximately 2x per chip versus v8, creating a multi-year organic growth driver as the global installed base transitions to the new architecture across smartphone, IoT, and server markets [1]</w:t>
      </w:r>
    </w:p>
    <w:p>
      <w:pPr>
        <w:spacing w:before="40" w:after="40"/>
        <w:ind w:left="283"/>
      </w:pPr>
      <w:r>
        <w:rPr>
          <w:rFonts w:ascii="Calibri" w:hAnsi="Calibri"/>
          <w:b/>
          <w:color w:val="4A6B25"/>
          <w:sz w:val="20"/>
        </w:rPr>
        <w:t xml:space="preserve">3. </w:t>
      </w:r>
      <w:r>
        <w:rPr>
          <w:rFonts w:ascii="Calibri" w:hAnsi="Calibri"/>
          <w:b w:val="0"/>
          <w:color w:val="3A4A28"/>
          <w:sz w:val="20"/>
        </w:rPr>
        <w:t>Compute Sub-Systems (CSS) strategy moving Arm up the value chain from pure IP licensing to pre-verified subsystem designs, capturing more value per chip and reducing time-to-market for partners in AI, automotive, and edge computing applications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premium valuation at 77.7x forward earnings and 264x trailing PE prices in years of uninterrupted 20%+ growth — any revenue deceleration, margin compression, or licensee pushback on royalty rates could trigger severe multiple contraction [1]</w:t>
      </w:r>
    </w:p>
    <w:p>
      <w:pPr>
        <w:spacing w:before="40" w:after="40"/>
        <w:ind w:left="283"/>
      </w:pPr>
      <w:r>
        <w:rPr>
          <w:rFonts w:ascii="Calibri" w:hAnsi="Calibri"/>
          <w:b/>
          <w:color w:val="4A6B25"/>
          <w:sz w:val="20"/>
        </w:rPr>
        <w:t xml:space="preserve">2. </w:t>
      </w:r>
      <w:r>
        <w:rPr>
          <w:rFonts w:ascii="Calibri" w:hAnsi="Calibri"/>
          <w:b w:val="0"/>
          <w:color w:val="3A4A28"/>
          <w:sz w:val="20"/>
        </w:rPr>
        <w:t>Qualcomm license dispute creates royalty structure uncertainty — the October 2026 Delaware verdict finding Arm breached its agreement, while awarding only $2 nominal damages, could embolden other major licensees to challenge royalty terms across the $4.9B revenue base [4]</w:t>
      </w:r>
    </w:p>
    <w:p>
      <w:pPr>
        <w:spacing w:before="40" w:after="40"/>
        <w:ind w:left="283"/>
      </w:pPr>
      <w:r>
        <w:rPr>
          <w:rFonts w:ascii="Calibri" w:hAnsi="Calibri"/>
          <w:b/>
          <w:color w:val="4A6B25"/>
          <w:sz w:val="20"/>
        </w:rPr>
        <w:t xml:space="preserve">3. </w:t>
      </w:r>
      <w:r>
        <w:rPr>
          <w:rFonts w:ascii="Calibri" w:hAnsi="Calibri"/>
          <w:b w:val="0"/>
          <w:color w:val="3A4A28"/>
          <w:sz w:val="20"/>
        </w:rPr>
        <w:t>RISC-V open-source architecture gaining traction as a royalty-free alternative in IoT, automotive, and edge computing with backing from Google, Samsung, and Qualcomm, posing a structural long-term threat to Arm's near-monopoly pricing power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Arm IS AI infrastructure — its architectures power virtually every AI smartphone, the majority of AI edge devices, and a rapidly growing share of AI data center chips including AWS Graviton, NVIDIA Grace, and Microsoft Cobalt [1]. AI cannot disrupt Arm because AI adoption directly increases demand for Arm-based chips; data center royalties more than doubled YoY in Q4 FY2026 driven specifically by AI workload expansion [1]. The royalty model creates a structural toll-booth: every AI chip built on Arm architecture generates incremental revenue regardless of which AI software or model wins. Analysts view Arm as a primary beneficiary of AI capex, with no substitution risk — the architecture is the foundation on which AI compute runs [1][3]. AI Opportunity (1/1): Arm generates substantial and growing AI-driven revenue through royalties on AI-optimized chips across data center, edge, and mobile; FY2026 total revenue of $4.92B grew 23% with data center royalties the fastest-growing segment, and Q1 FY2027 licensing revenue of $574M grew 23% driven primarily by AI demand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Arm Holdings FY2026 Full-Year and Q4 Results — Record $4.92B Revenue (+23% YoY), Q4 Revenue $1.49B (+20%), Data Center Royalties Doubled — SEC 20-F Filing and Arm Newsroom, May 2026</w:t>
      </w:r>
    </w:p>
    <w:p>
      <w:pPr>
        <w:spacing w:before="20" w:after="20"/>
        <w:ind w:left="170"/>
      </w:pPr>
      <w:r>
        <w:rPr>
          <w:rFonts w:ascii="Calibri" w:hAnsi="Calibri"/>
          <w:b/>
          <w:color w:val="4A6B25"/>
          <w:sz w:val="15"/>
        </w:rPr>
        <w:t xml:space="preserve">2. </w:t>
      </w:r>
      <w:r>
        <w:rPr>
          <w:rFonts w:ascii="Calibri" w:hAnsi="Calibri"/>
          <w:b w:val="0"/>
          <w:color w:val="3A4A28"/>
          <w:sz w:val="17"/>
        </w:rPr>
        <w:t>Arm Holdings Corporate Profile — CEO Rene Haas Leadership, Culture Assessment, AI Innovation, Ecosystem Strategy — Quarterdeck, Glassdoor Reviews, Arm.com, 2025-2026</w:t>
      </w:r>
    </w:p>
    <w:p>
      <w:pPr>
        <w:spacing w:before="20" w:after="20"/>
        <w:ind w:left="170"/>
      </w:pPr>
      <w:r>
        <w:rPr>
          <w:rFonts w:ascii="Calibri" w:hAnsi="Calibri"/>
          <w:b/>
          <w:color w:val="4A6B25"/>
          <w:sz w:val="15"/>
        </w:rPr>
        <w:t xml:space="preserve">3. </w:t>
      </w:r>
      <w:r>
        <w:rPr>
          <w:rFonts w:ascii="Calibri" w:hAnsi="Calibri"/>
          <w:b w:val="0"/>
          <w:color w:val="3A4A28"/>
          <w:sz w:val="17"/>
        </w:rPr>
        <w:t>Arm Holdings Q1 FY2027 Results — Revenue $1.29B (+22% YoY), Non-GAAP EPS $0.45 (+29%), Licensing Revenue $574M (+23%) — SEC 6-K Filing, July 2026</w:t>
      </w:r>
    </w:p>
    <w:p>
      <w:pPr>
        <w:spacing w:before="20" w:after="20"/>
        <w:ind w:left="170"/>
      </w:pPr>
      <w:r>
        <w:rPr>
          <w:rFonts w:ascii="Calibri" w:hAnsi="Calibri"/>
          <w:b/>
          <w:color w:val="4A6B25"/>
          <w:sz w:val="15"/>
        </w:rPr>
        <w:t xml:space="preserve">4. </w:t>
      </w:r>
      <w:r>
        <w:rPr>
          <w:rFonts w:ascii="Calibri" w:hAnsi="Calibri"/>
          <w:b w:val="0"/>
          <w:color w:val="3A4A28"/>
          <w:sz w:val="17"/>
        </w:rPr>
        <w:t>Arm Holdings Governance and Legal — $800M CEO Bonus Controversy (ISS/Glass Lewis Opposition), Qualcomm Delaware Verdict ($2 Nominal Damages, License Breach Finding), Absolute Emissions Increase — S&amp;P Global, CNBC, TradersUnion,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