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AROC</w:t>
      </w:r>
      <w:r>
        <w:rPr>
          <w:rFonts w:ascii="Calibri" w:hAnsi="Calibri"/>
          <w:b/>
          <w:color w:val="1A2010"/>
          <w:sz w:val="40"/>
        </w:rPr>
        <w:t xml:space="preserve">  Archrock, Inc.</w:t>
      </w:r>
    </w:p>
    <w:p>
      <w:pPr>
        <w:spacing w:after="120"/>
      </w:pPr>
      <w:r>
        <w:rPr>
          <w:rFonts w:ascii="Calibri" w:hAnsi="Calibri"/>
          <w:b/>
          <w:color w:val="6E8450"/>
          <w:sz w:val="18"/>
        </w:rPr>
        <w:t>DIVIDEND SLEEVE · 2026-09-16 · Inspire: 40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61</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Energy · Oil &amp; Gas Equipment &amp; Services · NYSE · United States</w:t>
      </w:r>
    </w:p>
    <w:p>
      <w:pPr>
        <w:spacing w:after="80"/>
      </w:pPr>
      <w:r>
        <w:rPr>
          <w:rFonts w:ascii="Calibri" w:hAnsi="Calibri"/>
          <w:b w:val="0"/>
          <w:color w:val="3A4A28"/>
          <w:sz w:val="20"/>
        </w:rPr>
        <w:t>Archrock is the largest provider of contract natural gas compression services in the United States, operating through Contract Operations and Aftermarket Services segments. The company designs, owns, installs, operates, and maintains natural gas compression equipment for oil and gas producers, processors, gatherers, and transporters. Formerly Exterran Holdings, Archrock completed its transformative acquisition of TOPS in October 2024, approximately doubling its fleet to ~4.5 million operating horsepower. Q2 2026 revenue was $371.2M with contract operations growing 3% YoY to $329.3M, though total revenue declined 3.1% as aftermarket services softened. The company tightened FY2026 Adjusted EBITDA guidance to $865M-$885M.</w:t>
      </w:r>
    </w:p>
    <w:p>
      <w:r>
        <w:rPr>
          <w:rFonts w:ascii="Calibri" w:hAnsi="Calibri"/>
          <w:b/>
          <w:color w:val="6E8450"/>
          <w:sz w:val="18"/>
        </w:rPr>
        <w:t>1,350 Employees · https://www.archrock.com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The TOPS acquisition in October 2024 was a significant strategic move that approximately doubled Archrock's compression fleet and revenue, cementing its position as the undisputed U.S. contract compression leader [1]. Revenue grew from $1.16B (FY2024) to $1.49B (FY2025), a 28.7% jump, and Q1 2026 delivered $373.8M (+7.7% YoY) before moderating to $371.2M in Q2 2026 (-3.1% YoY) [1]. This was a consolidation play that opened meaningful new revenue streams, though the core compression business model remains fundamentally unchanged since 1990. AI Deployment (0/2): No AI-powered products shipping to customers and no quantified AI-driven cost savings reported. Archrock operates remote monitoring on its fleet but this is standard telemetry, not AI deployment with measurable results [2]. Market Share (2/2): Archrock is the dominant #1 contract compression provider in the U.S. by fleet horsepower following the TOPS merger, with the largest fleet in the industry at ~4.5M operating HP and 95% utilization [1]. Scale advantages in equipment procurement, maintenance efficiency, and geographic coverage create meaningful competitive separation. Product Pipeline (0/2): No next-generation products with specific timelines. Growth comes from fleet expansion CapEx ($250-275M planned for 2026) rather than new product introductions [1]. R&amp;D Intensity (0/1): Minimal R&amp;D spending as a percentage of revenue, consistent with an asset-heavy energy services business where innovation is incremental rather than technology-driven.</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'We Power a Cleaner America' with CEO Brad Childers' sustainability messaging connects natural gas compression to the broader energy infrastructure narrative [2]. The company's SBTi-aligned emissions targets and formalized ESG governance demonstrate some intentionality behind the tagline. However, applying 'cleaner' to fossil fuel compression infrastructure is aspirational positioning that doesn't fundamentally differentiate from industry peers. Community Impact (1/2): Archrock maintains an employee-led ESG committee and has formalized board-level ESG governance with sustainability reporting and SBTi emissions targets [3]. No distinctive large-scale charitable foundation or quantified community investment programs with specific dollar amounts were identified. Employee Retention (1/2): CEO Brad Childers' 14+ year tenure (since 2011) provides remarkable leadership continuity that is rare in energy services [2]. However, employee reviews cite corporate micromanagement causing talented leaders at all levels to leave, creating mixed signals about organizational health. No specific turnover or average tenure data is publicly available. Insider Buying (0/2): Net insider selling in 2026 — CFO Douglas Aron executed $10.6M+ in share sales across multiple transactions between March and May 2026, and other officers sold additional shares. No meaningful open-market buying by executives identified [1].</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Archrock's financial profile is strong for a dividend-paying energy infrastructure company. ROE of 22.2% exceeds the 15% target, and profit margin of 21.8% surpasses the 20% target, reflecting the high-margin nature of contract compression services under 95% fleet utilization [1][4]. Forward P/E of 14.0x is well below the 20x target, indicating attractive valuation after the stock pulled back from ~$36 to $30.58. Revenue growth 5yr CAGR of approximately 15% (boosted by TOPS acquisition) exceeds the 10% target. The primary drags are elevated D/E of 151.9% — well above the 70% target reflecting $2.36B in acquisition-related debt — and YoY revenue decline of -3.1% as Q2 2026 ($371.2M) fell below Q2 2025 ($383.2M) due to aftermarket services softness [1]. Dividend metrics are solid: 46.2% payout ratio close to target, ~10 consecutive years of payments, 4 years of consecutive growth, and ~9% 5yr dividend growth CAGR well above the 6% target [4]. The stock clears the liquidity floor with ~$61.3M in daily trading volume.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Archrock demonstrates a mixed infinite/finite mindset. CEO Childers' 14-year tenure and strong employee culture provide organizational stability, and the company has maintained its compression focus through multiple energy cycles. However, the strategic language centers on market dominance, returns to shareholders, and EBITDA growth rather than an enduring purpose that transcends financial performance. The TOPS acquisition was a consolidation play for scale advantages rather than a cause-driven strategic evolution. The 'Cleaner America' positioning has some substance through SBTi targets but hasn't been tested through genuine strategic sacrifice.</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'We Power a Cleaner America' attempts to frame fossil fuel compression services as purpose-driven, connecting natural gas to the energy transition [2]. The company has backed this with SBTi-aligned emissions targets and sustainability reporting. However, the company's strategic decisions — the TOPS acquisition for scale, aggressive dividend growth, fleet expansion for utilization and returns — are driven by financial optimization rather than advancing a vision of a better future [1]. Leadership communications center on market position, EBITDA, and shareholder returns rather than a cause people would sacrifice to advance.</w:t>
      </w:r>
    </w:p>
    <w:p>
      <w:pPr>
        <w:spacing w:before="200" w:after="40"/>
      </w:pPr>
      <w:r>
        <w:rPr>
          <w:rFonts w:ascii="Calibri" w:hAnsi="Calibri"/>
          <w:b/>
          <w:color w:val="1A2010"/>
          <w:sz w:val="22"/>
        </w:rPr>
        <w:t>Trusting Teams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(2/2): CEO Brad Childers' 14+ year tenure (since 2011) provides exceptional leadership continuity that builds institutional trust [2]. Employee reviews indicate strong safety culture and competitive compensation, and the company's overall employee satisfaction is above average for the energy services industry. Field workers cite training programs and safety commitment as cultural strengths. The company has maintained organizational stability through the major TOPS integration without reported mass departures or cultural disruptions. Some reviews note corporate micromanagement, but the overall pattern shows a stable, reasonably high-trust organization.</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Archrock's competitive language focuses on being the 'largest' and 'leading' provider, with the TOPS acquisition explicitly framed as a move to cement market dominance and achieve scale advantages [1]. No evidence of management acknowledging competitors' strengths as motivation for self-improvement was identified in earnings calls or public communications. The consolidation strategy suggests a finite competitive mindset oriented toward winning market share rather than learning from rivals like USA Compression Partners or CSI Compressco.</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Archrock has evolved incrementally — spinning off from Exterran Holdings in 2015 to focus purely on U.S. contract compression, then acquiring TOPS in 2024 to consolidate market leadership [1]. These moves demonstrate strategic adaptation and willingness to reshape the business through portfolio simplification and scale consolidation. However, the core business model of owning and operating compression equipment has remained fundamentally unchanged since founding in 1990, and the company has not faced or passed a genuine transformative pivot test.</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The TOPS acquisition in October 2024 was a bold bet that significantly increased Archrock's debt load (D/E 151.9%, $2.36B total debt) to pursue long-term market leadership at a time when compression demand was strong but not guaranteed to sustain [1]. CEO Childers has maintained fleet investment spending ($250-275M growth CapEx in 2026) through energy price volatility. However, these decisions align with strong market momentum and 95% utilization rather than requiring genuine sacrifice against short-term pressures — maintaining investment during a supply-constrained upcycle is rational rather than courageous.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Archrock at 14.0x forward earnings offers attractive value as the dominant U.S. contract compression services provider with structural natural gas demand tailwinds. The TOPS acquisition transformed Archrock into the clear market leader with ~$1.5B TTM revenue, $865M-$885M in guided FY2026 Adjusted EBITDA, and profit margins above 21% at 95% fleet utilization [1]. The dividend profile is compelling for income investors — 3.0% yield with 9.2% five-year growth CAGR and a manageable 46% payout ratio funded by $726M in operating cash flow [4]. Three secular demand drivers — AI data center power generation, LNG export capacity additions, and industrial electrification — create a multi-decade demand runway for natural gas compression that partially insulates the business from commodity price cyclicality [2]. Equipment lead times of ~160 weeks limit new supply, protecting pricing power for existing operators.</w:t>
      </w:r>
    </w:p>
    <w:p>
      <w:pPr>
        <w:spacing w:after="120"/>
      </w:pPr>
      <w:r>
        <w:rPr>
          <w:rFonts w:ascii="Calibri" w:hAnsi="Calibri"/>
          <w:b w:val="0"/>
          <w:color w:val="3A4A28"/>
          <w:sz w:val="20"/>
        </w:rPr>
        <w:t>The bear case centers on debt, revenue deceleration, and energy cycle dependence. D/E of 151.9% with $2.36B total debt against just $2M cash creates meaningful financial risk and interest rate sensitivity [4]. Revenue declined 3.1% YoY in Q2 2026 ($371.2M vs $383.2M) with aftermarket services falling ~8%, and management tightened EBITDA guidance from $865M-$915M to $865M-$885M, signaling weaker-than-expected demand conditions [1]. Heavy insider selling — CFO Aron sold $10.6M+ in shares in 2026 — contrasts with the bullish demand narrative and may indicate management concern about near-term fundamentals. The stock has already declined 11% from 52-week highs near $34. The company remains fundamentally exposed to natural gas production levels — a sustained gas price decline below $2/MMBtu that curtails producer drilling activity would reduce fleet utilization from the current 95% [1]. ESG pressures on fossil fuel infrastructure may increase cost of capital over time, and the 1,350-employee workforce faces integration challenges from the TOPS merger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AI data center buildout driving structural natural gas demand for power generation, with management explicitly citing AI onshoring as a multi-year tailwind supporting compression fleet expansion at $250-275M annual growth CapEx [2]</w:t>
      </w:r>
    </w:p>
    <w:p>
      <w:pPr>
        <w:spacing w:before="40" w:after="40"/>
        <w:ind w:left="283"/>
      </w:pPr>
      <w:r>
        <w:rPr>
          <w:rFonts w:ascii="Calibri" w:hAnsi="Calibri"/>
          <w:b/>
          <w:color w:val="4A6B25"/>
          <w:sz w:val="20"/>
        </w:rPr>
        <w:t xml:space="preserve">2. </w:t>
      </w:r>
      <w:r>
        <w:rPr>
          <w:rFonts w:ascii="Calibri" w:hAnsi="Calibri"/>
          <w:b w:val="0"/>
          <w:color w:val="3A4A28"/>
          <w:sz w:val="20"/>
        </w:rPr>
        <w:t>TOPS integration synergies reaching full run-rate, with the combined fleet offering scale advantages in utilization, maintenance efficiency, and customer coverage that competitors cannot replicate at Archrock's 4.5M+ HP scale [1]</w:t>
      </w:r>
    </w:p>
    <w:p>
      <w:pPr>
        <w:spacing w:before="40" w:after="40"/>
        <w:ind w:left="283"/>
      </w:pPr>
      <w:r>
        <w:rPr>
          <w:rFonts w:ascii="Calibri" w:hAnsi="Calibri"/>
          <w:b/>
          <w:color w:val="4A6B25"/>
          <w:sz w:val="20"/>
        </w:rPr>
        <w:t xml:space="preserve">3. </w:t>
      </w:r>
      <w:r>
        <w:rPr>
          <w:rFonts w:ascii="Calibri" w:hAnsi="Calibri"/>
          <w:b w:val="0"/>
          <w:color w:val="3A4A28"/>
          <w:sz w:val="20"/>
        </w:rPr>
        <w:t>Dividend growth trajectory accelerating — from flat $0.58 annual (2020-2022) to projected $0.90+ in 2026 (9.2% 5yr CAGR) — with 46% payout ratio and $726M OCF providing substantial coverage and room for continued increases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Revenue deceleration from +7.7% (Q1 2026) to -3.1% (Q2 2026) with tightened EBITDA guidance ($865M-$885M vs prior $865M-$915M) suggests demand softening, particularly in aftermarket services which declined ~8% YoY [1]</w:t>
      </w:r>
    </w:p>
    <w:p>
      <w:pPr>
        <w:spacing w:before="40" w:after="40"/>
        <w:ind w:left="283"/>
      </w:pPr>
      <w:r>
        <w:rPr>
          <w:rFonts w:ascii="Calibri" w:hAnsi="Calibri"/>
          <w:b/>
          <w:color w:val="4A6B25"/>
          <w:sz w:val="20"/>
        </w:rPr>
        <w:t xml:space="preserve">2. </w:t>
      </w:r>
      <w:r>
        <w:rPr>
          <w:rFonts w:ascii="Calibri" w:hAnsi="Calibri"/>
          <w:b w:val="0"/>
          <w:color w:val="3A4A28"/>
          <w:sz w:val="20"/>
        </w:rPr>
        <w:t>Elevated debt ($2.36B, D/E 151.9%) with minimal cash reserves ($2M) creates financial fragility — interest expense headwinds and reduced flexibility to weather an energy downturn or fund fleet maintenance CapEx [4]</w:t>
      </w:r>
    </w:p>
    <w:p>
      <w:pPr>
        <w:spacing w:before="40" w:after="40"/>
        <w:ind w:left="283"/>
      </w:pPr>
      <w:r>
        <w:rPr>
          <w:rFonts w:ascii="Calibri" w:hAnsi="Calibri"/>
          <w:b/>
          <w:color w:val="4A6B25"/>
          <w:sz w:val="20"/>
        </w:rPr>
        <w:t xml:space="preserve">3. </w:t>
      </w:r>
      <w:r>
        <w:rPr>
          <w:rFonts w:ascii="Calibri" w:hAnsi="Calibri"/>
          <w:b w:val="0"/>
          <w:color w:val="3A4A28"/>
          <w:sz w:val="20"/>
        </w:rPr>
        <w:t>Heavy CFO insider selling ($10.6M+ in 2026) combined with the stock's 11% pullback from highs may signal management's assessment that near-term risk/reward has shifted despite the structural demand thesis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Archrock's core business — owning, installing, operating, and maintaining physical natural gas compression equipment across U.S. oil and gas basins — is structurally immune to AI disruption [2]. Compression services require heavy rotating machinery, on-site technicians, and physical infrastructure that AI cannot replicate or substitute. More importantly, AI is a demand catalyst: the rapid buildout of AI data centers is driving incremental natural gas demand for power generation, which in turn requires more compression infrastructure throughout the midstream supply chain. Management has explicitly cited AI data center onshoring as a multi-year structural tailwind alongside LNG exports and electrification [2]. Equipment lead times of ~160 weeks create extreme supply-side barriers that further insulate existing providers. AI Opportunity (0/1): Archrock does not generate revenue from AI products or services. The company benefits indirectly from AI-driven natural gas demand but does not sell AI-related offerings, and no quantifiable AI revenue contribution was identified.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40</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Air Quality </w:t>
      </w:r>
      <w:r>
        <w:rPr>
          <w:rFonts w:ascii="Calibri" w:hAnsi="Calibri"/>
          <w:b w:val="0"/>
          <w:color w:val="9DAF88"/>
          <w:sz w:val="17"/>
        </w:rPr>
        <w:t xml:space="preserve">  ·  </w:t>
      </w:r>
      <w:r>
        <w:rPr>
          <w:rFonts w:ascii="Calibri" w:hAnsi="Calibri"/>
          <w:b/>
          <w:color w:val="16A34A"/>
          <w:sz w:val="17"/>
        </w:rPr>
        <w:t xml:space="preserve"> Business Ethics </w:t>
      </w:r>
      <w:r>
        <w:rPr>
          <w:rFonts w:ascii="Calibri" w:hAnsi="Calibri"/>
          <w:b w:val="0"/>
          <w:color w:val="9DAF88"/>
          <w:sz w:val="17"/>
        </w:rPr>
        <w:t xml:space="preserve">  ·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Critical Risk Management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Waste and Hazmat Management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Archrock Q1 &amp; Q2 2026 Earnings Releases — Q1 Revenue $373.8M (+7.7% YoY), Q2 Revenue $371.2M (-3.1% YoY), FY2026 Adj. EBITDA Guidance Tightened to $865M-$885M, SEC 10-Q Filings, 2026</w:t>
      </w:r>
    </w:p>
    <w:p>
      <w:pPr>
        <w:spacing w:before="20" w:after="20"/>
        <w:ind w:left="170"/>
      </w:pPr>
      <w:r>
        <w:rPr>
          <w:rFonts w:ascii="Calibri" w:hAnsi="Calibri"/>
          <w:b/>
          <w:color w:val="4A6B25"/>
          <w:sz w:val="15"/>
        </w:rPr>
        <w:t xml:space="preserve">2. </w:t>
      </w:r>
      <w:r>
        <w:rPr>
          <w:rFonts w:ascii="Calibri" w:hAnsi="Calibri"/>
          <w:b w:val="0"/>
          <w:color w:val="3A4A28"/>
          <w:sz w:val="17"/>
        </w:rPr>
        <w:t>Archrock CEO Sustainability Message &amp; Leadership — Brad Childers (CEO since 2011), 'We Power a Cleaner America,' AI Data Center Demand Commentary, SBTi Targets, archrock.com, accessed September 2026</w:t>
      </w:r>
    </w:p>
    <w:p>
      <w:pPr>
        <w:spacing w:before="20" w:after="20"/>
        <w:ind w:left="170"/>
      </w:pPr>
      <w:r>
        <w:rPr>
          <w:rFonts w:ascii="Calibri" w:hAnsi="Calibri"/>
          <w:b/>
          <w:color w:val="4A6B25"/>
          <w:sz w:val="15"/>
        </w:rPr>
        <w:t xml:space="preserve">3. </w:t>
      </w:r>
      <w:r>
        <w:rPr>
          <w:rFonts w:ascii="Calibri" w:hAnsi="Calibri"/>
          <w:b w:val="0"/>
          <w:color w:val="3A4A28"/>
          <w:sz w:val="17"/>
        </w:rPr>
        <w:t>Archrock ESG Disclosures &amp; SEC Filings — FY2024-2025 10-K, ESG Governance Structure, Environmental Risk Factors, Employee-Led ESG Committee, SEC EDGAR, accessed September 2026</w:t>
      </w:r>
    </w:p>
    <w:p>
      <w:pPr>
        <w:spacing w:before="20" w:after="20"/>
        <w:ind w:left="170"/>
      </w:pPr>
      <w:r>
        <w:rPr>
          <w:rFonts w:ascii="Calibri" w:hAnsi="Calibri"/>
          <w:b/>
          <w:color w:val="4A6B25"/>
          <w:sz w:val="15"/>
        </w:rPr>
        <w:t xml:space="preserve">4. </w:t>
      </w:r>
      <w:r>
        <w:rPr>
          <w:rFonts w:ascii="Calibri" w:hAnsi="Calibri"/>
          <w:b w:val="0"/>
          <w:color w:val="3A4A28"/>
          <w:sz w:val="17"/>
        </w:rPr>
        <w:t>Yahoo Finance — AROC Key Statistics: Forward P/E 13.97x, ROE 22.2%, D/E 151.9%, Profit Margin 21.8%, Dividend Yield 3.01%, Payout Ratio 46.2%, Stock Price $30.58,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