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723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2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Calibri" w:hAnsi="Calibri"/>
          <w:b/>
          <w:color w:val="4A6B25"/>
          <w:sz w:val="56"/>
        </w:rPr>
        <w:t>ARX</w:t>
      </w:r>
      <w:r>
        <w:rPr>
          <w:rFonts w:ascii="Calibri" w:hAnsi="Calibri"/>
          <w:b/>
          <w:color w:val="1A2010"/>
          <w:sz w:val="40"/>
        </w:rPr>
        <w:t xml:space="preserve">  Accelerant Holdings</w:t>
      </w:r>
    </w:p>
    <w:p>
      <w:pPr>
        <w:spacing w:after="120"/>
      </w:pPr>
      <w:r>
        <w:rPr>
          <w:rFonts w:ascii="Calibri" w:hAnsi="Calibri"/>
          <w:b/>
          <w:color w:val="6E8450"/>
          <w:sz w:val="18"/>
        </w:rPr>
        <w:t>GROWTH SLEEVE · 2026-09-26 · Inspire: 0 · FINITE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200" w:type="dxa"/>
      </w:tblPr>
      <w:tblGrid>
        <w:gridCol w:w="10800"/>
      </w:tblGrid>
      <w:tr>
        <w:tc>
          <w:tcPr>
            <w:tcW w:type="dxa" w:w="10800"/>
            <w:shd w:fill="E3F2FD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2563EB"/>
                <w:sz w:val="20"/>
              </w:rPr>
              <w:t>WATCH</w:t>
            </w:r>
          </w:p>
        </w:tc>
      </w:tr>
    </w:tbl>
    <w:p>
      <w:pPr>
        <w:spacing w:before="120" w:after="200"/>
      </w:pPr>
      <w:r>
        <w:rPr>
          <w:rFonts w:ascii="Calibri" w:hAnsi="Calibri"/>
          <w:b/>
          <w:color w:val="1A2010"/>
          <w:sz w:val="80"/>
        </w:rPr>
        <w:t>47</w:t>
      </w:r>
      <w:r>
        <w:rPr>
          <w:rFonts w:ascii="Calibri" w:hAnsi="Calibri"/>
          <w:b w:val="0"/>
          <w:color w:val="9DAF88"/>
          <w:sz w:val="28"/>
        </w:rPr>
        <w:t xml:space="preserve"> / </w:t>
      </w:r>
      <w:r>
        <w:rPr>
          <w:rFonts w:ascii="Calibri" w:hAnsi="Calibri"/>
          <w:b w:val="0"/>
          <w:color w:val="9DAF88"/>
          <w:sz w:val="24"/>
        </w:rPr>
        <w:t>100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COMPANY PROFILE</w:t>
            </w:r>
          </w:p>
        </w:tc>
      </w:tr>
    </w:tbl>
    <w:p>
      <w:r>
        <w:rPr>
          <w:rFonts w:ascii="Calibri" w:hAnsi="Calibri"/>
          <w:b/>
          <w:color w:val="6E8450"/>
          <w:sz w:val="18"/>
        </w:rPr>
        <w:t>Financial Services · Insurance Brokers · NYSE · Cayman Islands</w:t>
      </w:r>
    </w:p>
    <w:p>
      <w:pPr>
        <w:spacing w:after="80"/>
      </w:pPr>
      <w:r>
        <w:rPr>
          <w:rFonts w:ascii="Calibri" w:hAnsi="Calibri"/>
          <w:b w:val="0"/>
          <w:color w:val="3A4A28"/>
          <w:sz w:val="20"/>
        </w:rPr>
        <w:t>Accelerant Holdings, headquartered in George Town, Cayman Islands and founded in 2018 by CEO Jeff Radke, operates a data-driven specialty insurance risk exchange connecting MGAs/MGUs with third-party risk capital. FY2025 revenue grew 51% to $913M with Exchange Written Premium up 35% to $4.19B and Adjusted EBITDA up 149% to $282M, and on August 13, 2026 the company agreed to be acquired by Thoma Bravo in an all-cash deal valuing shares at $20.25 (a 49% premium to the pre-announcement price), expected to close in the first half of 2027.</w:t>
      </w:r>
    </w:p>
    <w:p>
      <w:r>
        <w:rPr>
          <w:rFonts w:ascii="Calibri" w:hAnsi="Calibri"/>
          <w:b/>
          <w:color w:val="6E8450"/>
          <w:sz w:val="18"/>
        </w:rPr>
        <w:t>1,383 Employees · https://www.accelerant.ai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EXCELLENCE EVALUATION — THINK LIKE AN OWNER (50%)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Innovation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5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756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756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Track Record (3/3): Accelerant built a genuinely novel 'risk exchange' business model connecting specialty MGAs/MGUs with third-party risk capital, reaching unicorn status in 2022 and scaling to $4.19B in Exchange Written Premium (+35% in 2025) and 51% revenue growth, a transformative reinvention of how specialty insurance capacity is distributed [1]. AI Deployment (1/2): Management states the company is 'using AI and machine learning to improve portfolios, boost subrogation, and reduce expense ratios,' though no specific dollar savings were quantified [2]. Market Share (1/2): Third-party capital now represents 40% of Exchange premium, up from prior periods, evidencing rapid share gains in capital-efficient risk distribution, though no absolute market share figure was found [1]. Product Pipeline (0/2): 2026 guidance calls for &gt;20% Exchange Written Premium growth, but no specific named next-generation product or feature was found. R&amp;D Intensity (0/1): No R&amp;D/technology spend comparison versus insurtech peers was found.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Inspiration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Mission Floor (3/4): CEO Jeff Radke has articulated a specific, thoughtful purpose — 'replatforming an industry with exceptionally low trust' through radical honesty with MGA and capital partners — which is distinctive relative to typical insurance-industry mission language and appears to have shaped the company's transparency-oriented risk exchange model [2]. Community Impact (0/2): No evidence of charitable giving or community investment was found. Employee Retention (0/2): No tenure or turnover data was found. Insider Buying (0/2): No evidence of net insider buying was found, and the pending Thoma Bravo acquisition limits the informativeness of any recent insider activity [3].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Infrastructure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5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756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756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Mechanically scored on available metrics (growth-stock weighting). D/E of 16.1% is well below the 70% target (score 1.0, 1x weight). ROE of -222.0% and profit margin of -127.5% both score 0.0, reflecting a company still investing heavily in growth and likely carrying significant equity-based compensation post-IPO [1]. Revenue growth of 57.2% YoY scores a full 1.0 against the 10% target, consistent with FY2025's 51% revenue growth and accelerating 2026 quarterly trends [1]. Forward P/E of 21.01 scores 0.97, just above the 20 target. 5-year revenue CAGR and PEG were unavailable (company only recently went public) and excluded. Liquidity is ample (avg daily volume 3.79M x $19.75 = ~$75M).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FINITE VS INFINITE GAME — SINEK (25%)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Mindset: </w:t>
      </w:r>
      <w:r>
        <w:rPr>
          <w:rFonts w:ascii="Calibri" w:hAnsi="Calibri"/>
          <w:b/>
          <w:color w:val="DC2626"/>
          <w:sz w:val="22"/>
        </w:rPr>
        <w:t>FINITE</w:t>
      </w:r>
      <w:r>
        <w:rPr>
          <w:rFonts w:ascii="Calibri" w:hAnsi="Calibri"/>
          <w:b w:val="0"/>
          <w:color w:val="6E8450"/>
          <w:sz w:val="22"/>
        </w:rPr>
        <w:t xml:space="preserve">      Overall: </w:t>
      </w: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p>
      <w:pPr>
        <w:spacing w:after="120"/>
      </w:pPr>
      <w:r>
        <w:rPr>
          <w:rFonts w:ascii="Calibri" w:hAnsi="Calibri"/>
          <w:b w:val="0"/>
          <w:color w:val="3A4A28"/>
          <w:sz w:val="18"/>
        </w:rPr>
        <w:t>Accelerant's founder-articulated mission to 'replatform an industry with exceptionally low trust' is genuine and has plausibly shaped its transparency-oriented risk exchange model, but the company is young (founded 2018) and its August 2026 agreement to be acquired by Thoma Bravo for $20.25/share introduces real uncertainty about whether that mission continues under private-equity ownership, which typically optimizes for a defined-horizon exit rather than perpetual purpose.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Just Cause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7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858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654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Just Cause (2/3): CEO Jeff Radke's framing of the company's purpose as fixing a 'low trust' industry through honesty is genuine and has plausibly shaped the risk exchange's transparency-oriented design, but it remains untested through a full market cycle and its continuity is now in question given the pending sale to Thoma Bravo [2][3].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Trusting Teams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Trusting Teams (1/2): No culture red flags were found, and the CEO explicitly emphasizes honesty as a cultural value, but no specific retention or turnover data exists to support a claim of exceptional trust [2].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Worthy Rivals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Worthy Rivals (0/1): No management commentary referencing competitors in a learning-oriented way was found.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Existential Flexibility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Existential Flexibility (1/2): Accelerant has shifted its capital model toward third-party risk capital (now 40% of Exchange premium) to reduce its own balance-sheet risk-taking, a meaningful evolution, though it is refinement of the existing exchange model rather than a wholesale reinvention [1].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Courage To Lead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Courage to Lead (0/2): No specific evidence was found of leadership sacrificing near-term results for long-term capability; growth and profitability (EBITDA +149% in FY2025) have moved in the same direction rather than requiring a costly trade-off [1].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INVESTMENT THESIS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Accelerant has built a genuinely differentiated data-driven risk exchange model in specialty insurance, delivering FY2025 revenue growth of 51% to $913M, Exchange Written Premium growth of 35% to $4.19B, and Adjusted EBITDA growth of 149% to $282M, with third-party capital participation reaching 40% of Exchange premium as the model becomes more capital-efficient [1]. On August 13, 2026, Accelerant agreed to be acquired by Thoma Bravo in an all-cash transaction at $20.25 per share — a 49% premium to the pre-announcement price — with Altamont Capital Partners (holding ~82% of voting power) already committed to vote in favor and no financing condition attached, making deal completion reasonably likely by the expected first-half-2027 close [3].</w:t>
      </w:r>
    </w:p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The bear case is less about fundamentals than about opportunity cost and mission continuity: with shares trading at $19.75 against a $20.25 deal price, the stock offers only a modest ~2.5% spread to the pending acquisition, capping upside for new capital ahead of a first-half-2027 close, while remaining exposed to deal-completion risk (regulatory and shareholder approvals) [3]. The company is not yet profitable on a GAAP basis (ROE of -222%, profit margin of -127.5%), and Thoma Bravo's private-equity ownership model, once the deal closes, will likely prioritize a defined-horizon financial exit over the perpetual 'low-trust industry reform' mission Radke has articulated, undercutting the long-term Infinite Game thesis even if near-term financial execution remains strong [1][2][3].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CATALYSTS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Closing of the Thoma Bravo acquisition at $20.25/share, with ~82% of voting power already committed in favor and no financing condition, would lock in value near the current price by H1 2027 [3]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Continued Exchange Written Premium growth (&gt;20% guided for 2026) and EBITDA scaling ahead of deal close could support the current share price relative to the deal terms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Expanding third-party capital participation (40% of Exchange premium) continues to reduce Accelerant's own balance-sheet risk exposure [1]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DC2626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RISKS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The pending Thoma Bravo acquisition caps upside to roughly the $20.25 deal price, and any delay or failure to close (despite no financing condition) would introduce material downside risk to the current $19.75 share price [3]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The company remains unprofitable on a GAAP basis with ROE of -222% and profit margin of -127.5%, reflecting the cost of rapid scaling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Private-equity ownership under Thoma Bravo, once the deal closes, is likely to prioritize a defined-horizon financial exit over the long-term 'low-trust industry reform' mission articulated by CEO Radke [2][3]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AI RESILIENCE (25%)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AI Resilience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MODERATE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AI Risk Protection (6/9): Accelerant's core value proposition — regulatory licensing, capital markets relationships, and specialty underwriting expertise connecting MGAs to risk capital — provides meaningful protection against direct AI substitution, though AI-native insurtech platforms and AI-driven underwriting tools could gradually pressure traditional MGA/broker distribution economics over time [2]. AI Opportunity (0/1): Management describes internal AI/ML use for portfolio improvement, subrogation, and expense-ratio reduction, but this is an internal efficiency tool rather than a quantifiable AI-related revenue stream, so no tiebreaker point is awarded [2].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FAITH ALIGNMENT — INSPIRE INSIGHT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Inspire Impact Score:  </w:t>
      </w:r>
      <w:r>
        <w:rPr>
          <w:rFonts w:ascii="Calibri" w:hAnsi="Calibri"/>
          <w:b/>
          <w:color w:val="16A34A"/>
          <w:sz w:val="28"/>
        </w:rPr>
        <w:t>0</w:t>
      </w:r>
      <w:r>
        <w:rPr>
          <w:rFonts w:ascii="Calibri" w:hAnsi="Calibri"/>
          <w:b/>
          <w:color w:val="B8860B"/>
          <w:sz w:val="20"/>
        </w:rPr>
        <w:t xml:space="preserve">    MIXED</w:t>
      </w:r>
    </w:p>
    <w:p>
      <w:pPr>
        <w:spacing w:before="120"/>
      </w:pPr>
      <w:r>
        <w:rPr>
          <w:rFonts w:ascii="Calibri" w:hAnsi="Calibri"/>
          <w:b w:val="0"/>
          <w:color w:val="9DAF88"/>
          <w:sz w:val="15"/>
        </w:rPr>
        <w:t>Source: Inspire Insight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RESOURCES</w:t>
            </w:r>
          </w:p>
        </w:tc>
      </w:tr>
    </w:tbl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1. </w:t>
      </w:r>
      <w:r>
        <w:rPr>
          <w:rFonts w:ascii="Calibri" w:hAnsi="Calibri"/>
          <w:b w:val="0"/>
          <w:color w:val="3A4A28"/>
          <w:sz w:val="17"/>
        </w:rPr>
        <w:t>Accelerant Holdings FY2025/2026 Earnings Releases — SEC 8-K filings, stockanalysis.com,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2. </w:t>
      </w:r>
      <w:r>
        <w:rPr>
          <w:rFonts w:ascii="Calibri" w:hAnsi="Calibri"/>
          <w:b w:val="0"/>
          <w:color w:val="3A4A28"/>
          <w:sz w:val="17"/>
        </w:rPr>
        <w:t>Accelerant Holdings CEO Jeff Radke — LinkedIn, Future of Insurance Podcast, Clay, accessed September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3. </w:t>
      </w:r>
      <w:r>
        <w:rPr>
          <w:rFonts w:ascii="Calibri" w:hAnsi="Calibri"/>
          <w:b w:val="0"/>
          <w:color w:val="3A4A28"/>
          <w:sz w:val="17"/>
        </w:rPr>
        <w:t>Accelerant Enters into Definitive Agreement to be Acquired by Thoma Bravo — Thoma Bravo press release, SEC 8-K/DEFA14A, August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4. </w:t>
      </w:r>
      <w:r>
        <w:rPr>
          <w:rFonts w:ascii="Calibri" w:hAnsi="Calibri"/>
          <w:b w:val="0"/>
          <w:color w:val="3A4A28"/>
          <w:sz w:val="17"/>
        </w:rPr>
        <w:t>yfinance — ARX key statistics, accessed September 2026</w:t>
      </w:r>
    </w:p>
    <w:p>
      <w:pPr>
        <w:spacing w:before="400"/>
        <w:jc w:val="center"/>
      </w:pPr>
      <w:r>
        <w:rPr>
          <w:rFonts w:ascii="Calibri" w:hAnsi="Calibri"/>
          <w:b w:val="0"/>
          <w:color w:val="9DAF88"/>
          <w:sz w:val="16"/>
        </w:rPr>
        <w:t>Paradiem, LLC dba Intentional Ownership (“IOWN”) is a registered investment advisor. The information provided is for educational and informational purposes only and does not constitute investment advice.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