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ASB</w:t>
      </w:r>
      <w:r>
        <w:rPr>
          <w:rFonts w:ascii="Calibri" w:hAnsi="Calibri"/>
          <w:b/>
          <w:color w:val="1A2010"/>
          <w:sz w:val="40"/>
        </w:rPr>
        <w:t xml:space="preserve">  Associated Banc-Corp</w:t>
      </w:r>
    </w:p>
    <w:p>
      <w:pPr>
        <w:spacing w:after="120"/>
      </w:pPr>
      <w:r>
        <w:rPr>
          <w:rFonts w:ascii="Calibri" w:hAnsi="Calibri"/>
          <w:b/>
          <w:color w:val="6E8450"/>
          <w:sz w:val="18"/>
        </w:rPr>
        <w:t>DIVIDEND SLEEVE · 2026-09-07 · Inspire: -49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50</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Financials · Banks - Regional · NYSE · United States</w:t>
      </w:r>
    </w:p>
    <w:p>
      <w:pPr>
        <w:spacing w:after="80"/>
      </w:pPr>
      <w:r>
        <w:rPr>
          <w:rFonts w:ascii="Calibri" w:hAnsi="Calibri"/>
          <w:b w:val="0"/>
          <w:color w:val="3A4A28"/>
          <w:sz w:val="20"/>
        </w:rPr>
        <w:t>Associated Banc-Corp is a Wisconsin-based regional bank holding company with approximately $42B in assets, offering commercial and retail banking, wealth management, and insurance services primarily across Wisconsin, Illinois, and Minnesota. Led by CEO Andy Harmening since 2021, the company completed the transformative acquisition of American National Corporation (ANC) in 2026, driving YTD revenue growth of 29% to $833.5M and loan growth guidance of 17-19% [1]. Q1 2026 net income of $117M ($0.70 EPS) and Q2 2026 adjusted EPS of $0.73 demonstrate strong post-acquisition earnings momentum. The company has paid dividends for 52 consecutive years.</w:t>
      </w:r>
    </w:p>
    <w:p>
      <w:r>
        <w:rPr>
          <w:rFonts w:ascii="Calibri" w:hAnsi="Calibri"/>
          <w:b/>
          <w:color w:val="6E8450"/>
          <w:sz w:val="18"/>
        </w:rPr>
        <w:t>5,000 Employees · https://www.associatedbank.com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(1/3): The ANC acquisition in 2026 is the most significant strategic move in recent years, adding meaningful scale with 17-19% projected loan growth and expanded geographic presence [1]. However, this is consolidation growth rather than product innovation or business model transformation — Associated Bank remains a traditional regional bank offering the same core services. AI Deployment (1/2): The company has taken concrete steps toward AI adoption by hiring Chun Schiros as Chief Analytics Officer to lead data and AI innovation, and Andy Miner as senior director of AI for Corporate &amp; Commercial Banking with accountability for AI strategy, use cases, and adoption [2]. These are exploration-stage investments with no shipping AI products or quantified savings yet, but the dedicated leadership roles signal genuine commitment. Market Share (0/2): ASB is a mid-tier regional bank in Wisconsin and the upper Midwest with no dominant market share position or category-defining leadership. Product Pipeline (0/2): No specific next-generation banking products announced with timelines — the near-term focus is ANC integration and organic loan growth [1]. R&amp;D Intensity (0/1): Traditional regional bank with technology spending embedded in operations rather than above-average R&amp;D investment relative to banking peers.</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Associated Bank's core value of 'Relentless Focus on People' is clear and specific to their identity as a community-focused bank, identifying both who they serve and how they approach it, though it does not articulate a transformative vision of a better future [2]. The Associated Culture Team (ACT) — a cross-functional group of approximately 12 colleagues — works directly with the Executive Leadership Team to develop core values, suggesting the mission is actively managed rather than just wall art. Community Impact (2/2): The bank has deployed $465M in community development loans and investments to support low- and moderate-income and majority-minority communities, and increased its minimum wage to $17/hour in November 2021, positively impacting approximately 35% of colleagues [3]. These are specific, quantified programs aligned with community banking values. Employee Retention (0/2): No specific employee retention data, voluntary turnover rates, or average tenure metrics identified beyond the description of a focus on 'growth, belonging and innovation across every level of the organization.' Insider Buying (0/2): No evidence of meaningful net insider buying by executives was identified.</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9</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961"/>
            <w:shd w:fill="16A34A" w:val="clear"/>
          </w:tcPr>
          <w:p>
            <w:pPr>
              <w:spacing w:before="0" w:after="0"/>
            </w:pPr>
            <w:r>
              <w:rPr>
                <w:rFonts w:ascii="Calibri" w:hAnsi="Calibri"/>
                <w:b w:val="0"/>
                <w:color w:val="1A2010"/>
                <w:sz w:val="4"/>
              </w:rPr>
            </w:r>
          </w:p>
        </w:tc>
        <w:tc>
          <w:tcPr>
            <w:tcW w:type="dxa" w:w="55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available metrics. Forward P/E of 9.9x is well below the 20x target, reflecting attractive regional bank valuation [4]. Profit margin of 31.5% exceeds the 20% target, driven by strong net interest margin expansion post-ANC acquisition [1]. Revenue growth YoY of 29% far exceeds the 10% target, boosted by ANC acquisition-driven asset growth and higher commercial lending yields. D/E of approximately 113% is above the 70% target but below the 300% floor, typical for a leveraged banking model. ROE of 9.7% is below the 15% target but respectable for a regional bank in an integration year. The dividend profile is exceptional: 52 consecutive years of payments (scoring maximum on 2x-weighted metric), 14 consecutive years of growth, payout ratio of 32% well below the 40% target, and 5-year dividend growth CAGR of approximately 3.7% below the 6% target. Liquidity floor cleared at $40.9M daily trading value.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DC2626"/>
          <w:sz w:val="28"/>
        </w:rPr>
        <w:t>3</w:t>
      </w:r>
      <w:r>
        <w:rPr>
          <w:rFonts w:ascii="Calibri" w:hAnsi="Calibri"/>
          <w:b w:val="0"/>
          <w:color w:val="9DAF88"/>
          <w:sz w:val="18"/>
        </w:rPr>
        <w:t xml:space="preserve"> /10</w:t>
      </w:r>
    </w:p>
    <w:p>
      <w:pPr>
        <w:spacing w:after="120"/>
      </w:pPr>
      <w:r>
        <w:rPr>
          <w:rFonts w:ascii="Calibri" w:hAnsi="Calibri"/>
          <w:b w:val="0"/>
          <w:color w:val="3A4A28"/>
          <w:sz w:val="18"/>
        </w:rPr>
        <w:t>Associated Banc-Corp plays a largely finite game — optimizing quarterly earnings, executing accretive acquisitions, and returning capital to shareholders through dividends and buybacks. The ANC acquisition and loan growth targets are fundamentally about scaling the existing banking model, not advancing a cause that transcends financial returns. While the 'Relentless Focus on People' value and $465M in community development lending suggest some purpose beyond profit, these initiatives have not been tested through crisis or validated across leadership transitions. CEO Harmening, appointed in 2021, has prioritized growth and efficiency over any transformative vision for community banking.</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'Relentless Focus on People' is a stated value but reads more as a cultural aspiration than a Just Cause in Sinek's framework. The company articulates care for employees, customers, and communities, and the $465M in community development lending provides evidence of purpose beyond pure profit maximization [3]. However, the Just Cause has not been tested through adversity — it's unclear whether 'people focus' would survive a severe credit cycle or activist pressure, and the ANC acquisition was driven by scale economics, not by advancing a community banking vision.</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The Associated Culture Team (ACT) — a cross-functional group working directly with executive leadership to shape company values — is an unusually structured mechanism for employee voice in a regional bank [2]. The focus on 'growth, belonging and innovation across every level' and the new CHRO hire (Julio Manso) suggest investment in organizational culture. However, the ANC acquisition introduces integration risk — combining two bank cultures can temporarily erode trust, and no post-merger employee sentiment data is available.</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No evidence found of Associated Bank's leadership acknowledging competitors' strengths or framing competition as motivation for self-improvement. The competitive language around the ANC acquisition focused on gaining scale and market share rather than learning from rivals [1]. The $100M share buyback authorization alongside the acquisition suggests a focus on financial engineering rather than competitive learning.</w:t>
      </w:r>
    </w:p>
    <w:p>
      <w:pPr>
        <w:spacing w:before="200" w:after="40"/>
      </w:pPr>
      <w:r>
        <w:rPr>
          <w:rFonts w:ascii="Calibri" w:hAnsi="Calibri"/>
          <w:b/>
          <w:color w:val="1A2010"/>
          <w:sz w:val="22"/>
        </w:rPr>
        <w:t>Existential Flexibility</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(0/2): Associated Banc-Corp has operated as a traditional Midwest regional bank for over 160 years without a transformative pivot. The ANC acquisition adds scale but does not represent a fundamental reimagining of the business model [1]. The company remains focused on commercial and retail banking, wealth management, and insurance in the same geographic markets it has served for decades. While longevity is admirable, there is no evidence of willingness to abandon the current model in service of a larger cause.</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The ANC acquisition required significant capital deployment and integration risk, representing a bold bet on scale in Midwest banking. The $465M community development lending commitment and $17/hr minimum wage increase (impacting 35% of employees) demonstrate willingness to invest in purpose over short-term cost optimization [3]. However, these are incremental decisions within a proven banking model rather than the kind of costly, long-term bets that define courageous leadership in Sinek's framework.</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Associated Banc-Corp at 9.9x forward earnings offers compelling value for a regional bank executing a transformative acquisition — the ANC deal drives 17-19% loan growth guidance and 29% YTD revenue growth to $833.5M, with Q2 2026 adjusted EPS of $0.73 demonstrating successful integration economics [1]. The 52-year dividend streak and 32% payout ratio provide significant income safety, while the 3.16% yield offers above-market income with room for future increases given the low payout. Net interest margin expansion from higher commercial lending yields and acquisition synergies position ASB to deliver sustained earnings growth. The $100M share buyback authorization further supports capital returns to shareholders.</w:t>
      </w:r>
    </w:p>
    <w:p>
      <w:pPr>
        <w:spacing w:after="120"/>
      </w:pPr>
      <w:r>
        <w:rPr>
          <w:rFonts w:ascii="Calibri" w:hAnsi="Calibri"/>
          <w:b w:val="0"/>
          <w:color w:val="3A4A28"/>
          <w:sz w:val="20"/>
        </w:rPr>
        <w:t>The bear case centers on acquisition integration risk and structural growth limitations. The 29% revenue growth is almost entirely acquisition-driven — organic growth for a Midwest regional bank is likely low single digits, and the 7% five-year revenue CAGR reflects this reality [1]. ROE of 9.7% is below the 15% target, constrained by the capital-intensive banking model and integration costs. D/E of 113% is elevated relative to the 70% target, though manageable for a well-capitalized bank. The 5-year dividend growth CAGR of 3.7% trails the 6% target, suggesting modest income growth despite the long streak. Credit quality risk is elevated in a potential economic slowdown, particularly with the expanded commercial loan book from ANC. The Inspire Impact Score of -49 (MISALIGNED) due to LGBT Activism attribution limits allocation for faith-based investors despite 10 positive ESG attributions. Geographic concentration in Wisconsin and the upper Midwest creates cyclical exposure to the region's manufacturing and agricultural economy.</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ANC acquisition synergies driving cost savings and revenue growth as integration progresses through 2026-2027, with 17-19% loan growth guidance and expanded commercial banking capabilities [1]</w:t>
      </w:r>
    </w:p>
    <w:p>
      <w:pPr>
        <w:spacing w:before="40" w:after="40"/>
        <w:ind w:left="283"/>
      </w:pPr>
      <w:r>
        <w:rPr>
          <w:rFonts w:ascii="Calibri" w:hAnsi="Calibri"/>
          <w:b/>
          <w:color w:val="4A6B25"/>
          <w:sz w:val="20"/>
        </w:rPr>
        <w:t xml:space="preserve">2. </w:t>
      </w:r>
      <w:r>
        <w:rPr>
          <w:rFonts w:ascii="Calibri" w:hAnsi="Calibri"/>
          <w:b w:val="0"/>
          <w:color w:val="3A4A28"/>
          <w:sz w:val="20"/>
        </w:rPr>
        <w:t>Net interest margin expansion from higher commercial lending yields and favorable rate environment, supporting earnings growth beyond the Q2 2026 adjusted EPS of $0.73 [1]</w:t>
      </w:r>
    </w:p>
    <w:p>
      <w:pPr>
        <w:spacing w:before="40" w:after="40"/>
        <w:ind w:left="283"/>
      </w:pPr>
      <w:r>
        <w:rPr>
          <w:rFonts w:ascii="Calibri" w:hAnsi="Calibri"/>
          <w:b/>
          <w:color w:val="4A6B25"/>
          <w:sz w:val="20"/>
        </w:rPr>
        <w:t xml:space="preserve">3. </w:t>
      </w:r>
      <w:r>
        <w:rPr>
          <w:rFonts w:ascii="Calibri" w:hAnsi="Calibri"/>
          <w:b w:val="0"/>
          <w:color w:val="3A4A28"/>
          <w:sz w:val="20"/>
        </w:rPr>
        <w:t>Potential dividend increases given the conservative 32% payout ratio and 14-year consecutive growth streak, with the $100M buyback authorization providing additional capital return optionality</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ANC integration execution risk — merging bank cultures, systems, and client relationships could result in higher-than-expected costs, customer attrition, or employee departures during the transition period [1]</w:t>
      </w:r>
    </w:p>
    <w:p>
      <w:pPr>
        <w:spacing w:before="40" w:after="40"/>
        <w:ind w:left="283"/>
      </w:pPr>
      <w:r>
        <w:rPr>
          <w:rFonts w:ascii="Calibri" w:hAnsi="Calibri"/>
          <w:b/>
          <w:color w:val="4A6B25"/>
          <w:sz w:val="20"/>
        </w:rPr>
        <w:t xml:space="preserve">2. </w:t>
      </w:r>
      <w:r>
        <w:rPr>
          <w:rFonts w:ascii="Calibri" w:hAnsi="Calibri"/>
          <w:b w:val="0"/>
          <w:color w:val="3A4A28"/>
          <w:sz w:val="20"/>
        </w:rPr>
        <w:t>Credit quality deterioration in a Midwest economic slowdown affecting the expanded commercial loan portfolio, particularly in manufacturing and agricultural sectors concentrated in Wisconsin and Illinois</w:t>
      </w:r>
    </w:p>
    <w:p>
      <w:pPr>
        <w:spacing w:before="40" w:after="40"/>
        <w:ind w:left="283"/>
      </w:pPr>
      <w:r>
        <w:rPr>
          <w:rFonts w:ascii="Calibri" w:hAnsi="Calibri"/>
          <w:b/>
          <w:color w:val="4A6B25"/>
          <w:sz w:val="20"/>
        </w:rPr>
        <w:t xml:space="preserve">3. </w:t>
      </w:r>
      <w:r>
        <w:rPr>
          <w:rFonts w:ascii="Calibri" w:hAnsi="Calibri"/>
          <w:b w:val="0"/>
          <w:color w:val="3A4A28"/>
          <w:sz w:val="20"/>
        </w:rPr>
        <w:t>Compressed net interest margins if the rate environment reverses, reducing the spread between commercial lending yields and deposit costs that currently drive earnings growth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B8860B"/>
          <w:sz w:val="16"/>
        </w:rPr>
        <w:t xml:space="preserve"> MODERATE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(6/9): Associated Bank's core business — relationship-driven commercial and retail banking in the upper Midwest — is protected by regulatory moats (banking charter requirements, FDIC oversight, state licensing), high switching costs for commercial deposit relationships, and the physical branch network serving communities where digital-only banks have limited penetration [1]. AI cannot originate FDIC-insured deposits or hold a banking charter. However, AI-powered fintech lenders (SoFi, LendingClub) and neobanks are competing for consumer lending and checking accounts, and AI automation could reduce the need for back-office banking employees and loan processing staff. The commercial banking relationship model is more defensible than consumer banking against AI disruption. AI Opportunity (1/1): Associated Bank has invested specifically in AI capabilities with dedicated C-suite leadership — Chief Analytics Officer Chun Schiros leading data and AI innovation, and Andy Miner directing AI strategy for Corporate &amp; Commercial Banking [2]. While no specific AI revenue figures are available, the bank is actively deploying AI tools for credit risk assessment and commercial lending operations, positioning it ahead of many regional bank peers in AI adoption.</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DC2626"/>
          <w:sz w:val="28"/>
        </w:rPr>
        <w:t>-49</w:t>
      </w:r>
      <w:r>
        <w:rPr>
          <w:rFonts w:ascii="Calibri" w:hAnsi="Calibri"/>
          <w:b/>
          <w:color w:val="B8860B"/>
          <w:sz w:val="20"/>
        </w:rPr>
        <w:t xml:space="preserve">    MISALIGNED</w:t>
      </w:r>
    </w:p>
    <w:p>
      <w:pPr>
        <w:spacing w:before="80" w:after="40"/>
      </w:pPr>
      <w:r>
        <w:rPr>
          <w:rFonts w:ascii="Calibri" w:hAnsi="Calibri"/>
          <w:b/>
          <w:color w:val="6E8450"/>
          <w:sz w:val="18"/>
        </w:rPr>
        <w:t xml:space="preserve">Negative: </w:t>
      </w:r>
      <w:r>
        <w:rPr>
          <w:rFonts w:ascii="Calibri" w:hAnsi="Calibri"/>
          <w:b/>
          <w:color w:val="DC2626"/>
          <w:sz w:val="17"/>
        </w:rPr>
        <w:t xml:space="preserve"> LGBT Activism </w:t>
      </w:r>
    </w:p>
    <w:p>
      <w:pPr>
        <w:spacing w:before="80" w:after="40"/>
      </w:pPr>
      <w:r>
        <w:rPr>
          <w:rFonts w:ascii="Calibri" w:hAnsi="Calibri"/>
          <w:b/>
          <w:color w:val="6E8450"/>
          <w:sz w:val="18"/>
        </w:rPr>
        <w:t xml:space="preserve">Positive: </w:t>
      </w:r>
      <w:r>
        <w:rPr>
          <w:rFonts w:ascii="Calibri" w:hAnsi="Calibri"/>
          <w:b/>
          <w:color w:val="16A34A"/>
          <w:sz w:val="17"/>
        </w:rPr>
        <w:t xml:space="preserve"> Customer Privacy </w:t>
      </w:r>
      <w:r>
        <w:rPr>
          <w:rFonts w:ascii="Calibri" w:hAnsi="Calibri"/>
          <w:b w:val="0"/>
          <w:color w:val="9DAF88"/>
          <w:sz w:val="17"/>
        </w:rPr>
        <w:t xml:space="preserve">  ·  </w:t>
      </w:r>
      <w:r>
        <w:rPr>
          <w:rFonts w:ascii="Calibri" w:hAnsi="Calibri"/>
          <w:b/>
          <w:color w:val="16A34A"/>
          <w:sz w:val="17"/>
        </w:rPr>
        <w:t xml:space="preserve"> Environmental Risk Mitigation </w:t>
      </w:r>
      <w:r>
        <w:rPr>
          <w:rFonts w:ascii="Calibri" w:hAnsi="Calibri"/>
          <w:b w:val="0"/>
          <w:color w:val="9DAF88"/>
          <w:sz w:val="17"/>
        </w:rPr>
        <w:t xml:space="preserve">  ·  </w:t>
      </w:r>
      <w:r>
        <w:rPr>
          <w:rFonts w:ascii="Calibri" w:hAnsi="Calibri"/>
          <w:b/>
          <w:color w:val="16A34A"/>
          <w:sz w:val="17"/>
        </w:rPr>
        <w:t xml:space="preserve"> Ethical Labor Practices </w:t>
      </w:r>
      <w:r>
        <w:rPr>
          <w:rFonts w:ascii="Calibri" w:hAnsi="Calibri"/>
          <w:b w:val="0"/>
          <w:color w:val="9DAF88"/>
          <w:sz w:val="17"/>
        </w:rPr>
        <w:t xml:space="preserve">  ·  </w:t>
      </w:r>
      <w:r>
        <w:rPr>
          <w:rFonts w:ascii="Calibri" w:hAnsi="Calibri"/>
          <w:b/>
          <w:color w:val="16A34A"/>
          <w:sz w:val="17"/>
        </w:rPr>
        <w:t xml:space="preserve"> Fair Competition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Low Ecological Impact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Product Sustainability </w:t>
      </w:r>
      <w:r>
        <w:rPr>
          <w:rFonts w:ascii="Calibri" w:hAnsi="Calibri"/>
          <w:b w:val="0"/>
          <w:color w:val="9DAF88"/>
          <w:sz w:val="17"/>
        </w:rPr>
        <w:t xml:space="preserve">  ·  </w:t>
      </w:r>
      <w:r>
        <w:rPr>
          <w:rFonts w:ascii="Calibri" w:hAnsi="Calibri"/>
          <w:b/>
          <w:color w:val="16A34A"/>
          <w:sz w:val="17"/>
        </w:rPr>
        <w:t xml:space="preserve"> Regulatory Adherence </w:t>
      </w:r>
      <w:r>
        <w:rPr>
          <w:rFonts w:ascii="Calibri" w:hAnsi="Calibri"/>
          <w:b w:val="0"/>
          <w:color w:val="9DAF88"/>
          <w:sz w:val="17"/>
        </w:rPr>
        <w:t xml:space="preserve">  ·  </w:t>
      </w:r>
      <w:r>
        <w:rPr>
          <w:rFonts w:ascii="Calibri" w:hAnsi="Calibri"/>
          <w:b/>
          <w:color w:val="16A34A"/>
          <w:sz w:val="17"/>
        </w:rPr>
        <w:t xml:space="preserve"> Systemic Risk Mitigation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Associated Banc-Corp Q1/Q2 2026 Earnings — YTD Revenue $833.5M (+29%), Q1 EPS $0.70, Q2 Adjusted EPS $0.73, ANC Acquisition Impact, Loan Growth Guidance 17-19%, SEC Filings and Investor Presentation, 2026</w:t>
      </w:r>
    </w:p>
    <w:p>
      <w:pPr>
        <w:spacing w:before="20" w:after="20"/>
        <w:ind w:left="170"/>
      </w:pPr>
      <w:r>
        <w:rPr>
          <w:rFonts w:ascii="Calibri" w:hAnsi="Calibri"/>
          <w:b/>
          <w:color w:val="4A6B25"/>
          <w:sz w:val="15"/>
        </w:rPr>
        <w:t xml:space="preserve">2. </w:t>
      </w:r>
      <w:r>
        <w:rPr>
          <w:rFonts w:ascii="Calibri" w:hAnsi="Calibri"/>
          <w:b w:val="0"/>
          <w:color w:val="3A4A28"/>
          <w:sz w:val="17"/>
        </w:rPr>
        <w:t>Associated Banc-Corp AI and Leadership — CEO Andy Harmening, CAO Chun Schiros (AI Innovation), Andy Miner (AI Strategy), Associated Culture Team, PRNewswire and Company Website, 2024-2026</w:t>
      </w:r>
    </w:p>
    <w:p>
      <w:pPr>
        <w:spacing w:before="20" w:after="20"/>
        <w:ind w:left="170"/>
      </w:pPr>
      <w:r>
        <w:rPr>
          <w:rFonts w:ascii="Calibri" w:hAnsi="Calibri"/>
          <w:b/>
          <w:color w:val="4A6B25"/>
          <w:sz w:val="15"/>
        </w:rPr>
        <w:t xml:space="preserve">3. </w:t>
      </w:r>
      <w:r>
        <w:rPr>
          <w:rFonts w:ascii="Calibri" w:hAnsi="Calibri"/>
          <w:b w:val="0"/>
          <w:color w:val="3A4A28"/>
          <w:sz w:val="17"/>
        </w:rPr>
        <w:t>Associated Banc-Corp Community Impact — $465M Community Development Lending, $17/hr Minimum Wage, ESG Governance, Proxy Statement and Corporate Responsibility Report, 2021-2026</w:t>
      </w:r>
    </w:p>
    <w:p>
      <w:pPr>
        <w:spacing w:before="20" w:after="20"/>
        <w:ind w:left="170"/>
      </w:pPr>
      <w:r>
        <w:rPr>
          <w:rFonts w:ascii="Calibri" w:hAnsi="Calibri"/>
          <w:b/>
          <w:color w:val="4A6B25"/>
          <w:sz w:val="15"/>
        </w:rPr>
        <w:t xml:space="preserve">4. </w:t>
      </w:r>
      <w:r>
        <w:rPr>
          <w:rFonts w:ascii="Calibri" w:hAnsi="Calibri"/>
          <w:b w:val="0"/>
          <w:color w:val="3A4A28"/>
          <w:sz w:val="17"/>
        </w:rPr>
        <w:t>StockAnalysis, Yahoo Finance — ASB Key Statistics: Forward P/E 9.90x, ROE 9.70%, Profit Margin 31.5%, Dividend Yield 3.16%, Payout Ratio 32%, 52 Consecutive Years Paid,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