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ASO</w:t>
      </w:r>
      <w:r>
        <w:rPr>
          <w:rFonts w:ascii="Calibri" w:hAnsi="Calibri"/>
          <w:b/>
          <w:color w:val="1A2010"/>
          <w:sz w:val="40"/>
        </w:rPr>
        <w:t xml:space="preserve">  Academy Sports and Outdoors, Inc.</w:t>
      </w:r>
    </w:p>
    <w:p>
      <w:pPr>
        <w:spacing w:after="120"/>
      </w:pPr>
      <w:r>
        <w:rPr>
          <w:rFonts w:ascii="Calibri" w:hAnsi="Calibri"/>
          <w:b/>
          <w:color w:val="6E8450"/>
          <w:sz w:val="18"/>
        </w:rPr>
        <w:t>GROWTH SLEEVE · 2026-09-17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NASDAQ · United States</w:t>
      </w:r>
    </w:p>
    <w:p>
      <w:pPr>
        <w:spacing w:after="80"/>
      </w:pPr>
      <w:r>
        <w:rPr>
          <w:rFonts w:ascii="Calibri" w:hAnsi="Calibri"/>
          <w:b w:val="0"/>
          <w:color w:val="3A4A28"/>
          <w:sz w:val="20"/>
        </w:rPr>
        <w:t>Academy Sports and Outdoors, Inc. is a Texas-based sporting goods, outdoor recreation, and apparel retailer operating over 300 stores concentrated in the South and Southeast United States, led by CEO Steve Lawrence. The company reported fiscal 2025 (ended January 2026) sales growth of 2.0% alongside a 1.5% decline in comparable sales, opened 24 new stores, and guided fiscal 2026 net sales of $6.23-6.36 billion with comparable sales in a range of (1.0)% to 2.0% amid a soft discretionary spending environment.</w:t>
      </w:r>
    </w:p>
    <w:p>
      <w:r>
        <w:rPr>
          <w:rFonts w:ascii="Calibri" w:hAnsi="Calibri"/>
          <w:b/>
          <w:color w:val="6E8450"/>
          <w:sz w:val="18"/>
        </w:rPr>
        <w:t>22,000 Employees · https://www.academy.com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Academy has executed steady physical expansion (24 new stores in FY2025, 20-25 planned for FY2026) and maintained profitability, but comparable sales declined 1.5% in FY2025 and guidance for FY2026 spans (1.0)% to 2.0%, indicating a business managing through softness rather than a bold strategic pivot [1]. AI Deployment (1/2): CIO Sumit Anand is leading a genuine AI push -- personalizing the digital shopping experience and reducing repetitive internal work -- and Academy's IT team won a CIO 100 2026 award, but the initiative is still early-stage without disclosed revenue or margin impact [2]. Market Share (1/2): Academy holds a solid regional position in sporting goods and outdoor recreation across the South/Southeast but is meaningfully smaller in national scale than Dick's Sporting Goods [1]. Pipeline (1/2): Continued new-store growth into FY2026 provides a visible, if incremental, expansion pipeline rather than a new format or category breakthrough [1]. R&amp;D Intensity (0/1): As a physical retailer, traditional R&amp;D intensity is low; technology investment is real but framed around operational efficiency rather than product innovation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Academy's stated purpose around making sporting goods and outdoor recreation accessible and affordable is functional and genuine but not distinctive relative to peers, and the company's continued sale of firearms and ammunition creates an inherent tension with a broader 'wellbeing' mission -- Academy was named in federal and state litigation alleging it illegally sold the rifle used in the 2017 Sutherland Springs church shooting, a case ultimately dismissed by the Texas Supreme Court on statutory retailer-immunity grounds rather than a finding that the sale was proper [4]. Community Impact (0/2): The company's public ESG language ('sustaining the planet, empowering communities, operating with integrity') is generic corporate messaging without a specific, verifiable flagship program identified in the research window [3]. Employee Retention (0/2): No specific tenure, turnover, or retention data was identified for Academy's large hourly retail workforce. Insider Buying (0/2): No evidence of notable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Academy's Forward P/E of 7.13 and trailing PEG of 0.60 both score at maximum against the 20x and 1.0x targets, reflecting a deeply discounted valuation for a profitable, cash-generative retailer [5]. ROE of 18.61% clears the 15% target, and D/E of 90.4% scores well against the 300% floor even though it sits above the 70% target, reflecting moderate leverage typical of a mature big-box retailer with a large real-estate and inventory base [5]. Revenue growth of roughly 3% (FY2025 total sales +2.0%, Q2 FY2026 +3.0%) is modest against the 10% target, and profit margin of 6.39% sits well below the 20% target, both scoring low [1]. The 5-year revenue trend is essentially flat once the 2020-2021 pandemic-driven demand spike normalizes, also scoring low. Liquidity clears the floor comfortably with average daily dollar volume of roughly $87.3M.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Academy Sports operates with a largely finite mindset typical of a mature, comp-sales-challenged big-box retailer: strategic moves are incremental (steady new-store openings, early-stage AI adoption) rather than transformative, and the company's continued sale of firearms creates recurring litigation and reputational exposure that sits in tension with a broader stakeholder-wellbeing mission, as illustrated by the Sutherland Springs shooting litigation.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Academy's stated purpose of making sporting goods and outdoor recreation affordable and accessible is genuine and reflected in its value positioning, but the company's continued sale of firearms and ammunition -- including litigation tied to a mass-casualty shooting -- creates a real tension with a broader cause of customer and community wellbeing [3][4].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Academy describes a 'culture-first environment,' and its IT organization was recognized with a CIO 100 2026 award, positive but narrow evidence relative to the scale of its 22,000-person, largely hourly retail workforce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Academy competes with Dick's Sporting Goods and regional outdoor retailers primarily on price and assortment breadth rather than predatory or anti-competitive tactics.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Academy's core big-box retail model has remained largely unchanged, with growth driven by incremental new-store openings and early AI tooling rather than any fundamental reinvention of the business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Steve Lawrence has continued to invest in new stores and technology (20-25 planned FY2026 openings) even as comparable sales have been negative to flat, a modest bet on the long-term health of the format rather than an aggressive retrenchment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Academy Sports trades at a deeply discounted 7.1x forward earnings and 0.60 PEG for a consistently profitable retailer generating 18.6% ROE, a valuation that appears to price in more distress than the fundamentals currently show [1][5]. Management continues to invest through the cycle -- opening 20-25 new stores in FY2026 and building out AI-driven personalization under CIO Sumit Anand -- while FY2025 EPS grew 17.3% even as comparable sales dipped, suggesting real operating leverage and cost discipline [1][2].</w:t>
      </w:r>
    </w:p>
    <w:p>
      <w:pPr>
        <w:spacing w:after="120"/>
      </w:pPr>
      <w:r>
        <w:rPr>
          <w:rFonts w:ascii="Calibri" w:hAnsi="Calibri"/>
          <w:b w:val="0"/>
          <w:color w:val="3A4A28"/>
          <w:sz w:val="20"/>
        </w:rPr>
        <w:t>The bear case centers on stalled top-line growth and reputational/litigation overhang: comparable sales fell 1.5% in FY2025 and FY2026 guidance spans a wide (1.0)% to 2.0% range, reflecting genuine uncertainty about discretionary consumer spending on sporting goods and outdoor gear [1]. Academy's continued sale of firearms and ammunition carries ongoing litigation and reputational risk, illustrated by the high-profile Sutherland Springs church shooting lawsuits that were ultimately dismissed only on statutory retailer-immunity grounds rather than on the merits of the sale itself [4]. The cheap valuation may therefore reflect the market's structural discount for a low-growth, litigation-exposed specialty retailer rather than a clear mispricing, despite a strong Inspire Impact Score of 54 (ALIGNED) on general labor, sustainability, and affordability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 return to positive comparable sales growth, even modestly, would validate management's view that FY2025's 1.5% comp decline was cyclical rather than structural [1]</w:t>
      </w:r>
    </w:p>
    <w:p>
      <w:pPr>
        <w:spacing w:before="40" w:after="40"/>
        <w:ind w:left="283"/>
      </w:pPr>
      <w:r>
        <w:rPr>
          <w:rFonts w:ascii="Calibri" w:hAnsi="Calibri"/>
          <w:b/>
          <w:color w:val="4A6B25"/>
          <w:sz w:val="20"/>
        </w:rPr>
        <w:t xml:space="preserve">2. </w:t>
      </w:r>
      <w:r>
        <w:rPr>
          <w:rFonts w:ascii="Calibri" w:hAnsi="Calibri"/>
          <w:b w:val="0"/>
          <w:color w:val="3A4A28"/>
          <w:sz w:val="20"/>
        </w:rPr>
        <w:t>Continued new-store expansion (20-25 planned in FY2026) into new or underpenetrated Sun Belt markets could re-accelerate total revenue growth even if comps remain soft [1]</w:t>
      </w:r>
    </w:p>
    <w:p>
      <w:pPr>
        <w:spacing w:before="40" w:after="40"/>
        <w:ind w:left="283"/>
      </w:pPr>
      <w:r>
        <w:rPr>
          <w:rFonts w:ascii="Calibri" w:hAnsi="Calibri"/>
          <w:b/>
          <w:color w:val="4A6B25"/>
          <w:sz w:val="20"/>
        </w:rPr>
        <w:t xml:space="preserve">3. </w:t>
      </w:r>
      <w:r>
        <w:rPr>
          <w:rFonts w:ascii="Calibri" w:hAnsi="Calibri"/>
          <w:b w:val="0"/>
          <w:color w:val="3A4A28"/>
          <w:sz w:val="20"/>
        </w:rPr>
        <w:t>Scaling of the CIO-led AI personalization initiative could improve digital conversion and defend market share against larger e-commerce-driven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Comparable sales have been negative to flat for multiple periods, and FY2026 guidance of (1.0)% to 2.0% shows management itself is uncertain about a near-term inflection in consumer demand [1]</w:t>
      </w:r>
    </w:p>
    <w:p>
      <w:pPr>
        <w:spacing w:before="40" w:after="40"/>
        <w:ind w:left="283"/>
      </w:pPr>
      <w:r>
        <w:rPr>
          <w:rFonts w:ascii="Calibri" w:hAnsi="Calibri"/>
          <w:b/>
          <w:color w:val="4A6B25"/>
          <w:sz w:val="20"/>
        </w:rPr>
        <w:t xml:space="preserve">2. </w:t>
      </w:r>
      <w:r>
        <w:rPr>
          <w:rFonts w:ascii="Calibri" w:hAnsi="Calibri"/>
          <w:b w:val="0"/>
          <w:color w:val="3A4A28"/>
          <w:sz w:val="20"/>
        </w:rPr>
        <w:t>Ongoing sale of firearms and ammunition exposes Academy to recurring litigation and reputational risk, as demonstrated by the Sutherland Springs shooting lawsuits, even where courts have ultimately ruled in the retailer's favor on statutory grounds [4]</w:t>
      </w:r>
    </w:p>
    <w:p>
      <w:pPr>
        <w:spacing w:before="40" w:after="40"/>
        <w:ind w:left="283"/>
      </w:pPr>
      <w:r>
        <w:rPr>
          <w:rFonts w:ascii="Calibri" w:hAnsi="Calibri"/>
          <w:b/>
          <w:color w:val="4A6B25"/>
          <w:sz w:val="20"/>
        </w:rPr>
        <w:t xml:space="preserve">3. </w:t>
      </w:r>
      <w:r>
        <w:rPr>
          <w:rFonts w:ascii="Calibri" w:hAnsi="Calibri"/>
          <w:b w:val="0"/>
          <w:color w:val="3A4A28"/>
          <w:sz w:val="20"/>
        </w:rPr>
        <w:t>As a physical, regional big-box retailer, Academy remains exposed to AI-driven price transparency and e-commerce competition from larger-scale players like Amazon and Dick's Sporting Goods that can out-invest in personalization technology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Academy's business -- physical sporting goods, footwear fitting, and outdoor gear that customers often want to try or inspect in person -- carries moderate structural protection from pure AI disruption, but the retailer is exposed to AI-driven price transparency and personalization tools that let shoppers comparison-shop instantly against larger-scale competitors like Amazon and Dick's Sporting Goods, pressuring margins over time [1][2]. Regional store density and localized assortment (hunting, fishing, team sports gear) provide some insulation from pure e-commerce substitution. AI Opportunity (1/1): CIO Sumit Anand's team is actively deploying AI to personalize the digital experience and reduce internal repetitive work, a concrete, CIO-100-award-recognized initiative that positions Academy as an AI adopter rather than merely a defender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Academy Sports + Outdoors Q4 FY2025 and Q2 FY2026 Earnings Releases -- Comparable Sales, Revenue Guidance, EPS Growth -- investors.academy.com, Alphastreet, 2026</w:t>
      </w:r>
    </w:p>
    <w:p>
      <w:pPr>
        <w:spacing w:before="20" w:after="20"/>
        <w:ind w:left="170"/>
      </w:pPr>
      <w:r>
        <w:rPr>
          <w:rFonts w:ascii="Calibri" w:hAnsi="Calibri"/>
          <w:b/>
          <w:color w:val="4A6B25"/>
          <w:sz w:val="15"/>
        </w:rPr>
        <w:t xml:space="preserve">2. </w:t>
      </w:r>
      <w:r>
        <w:rPr>
          <w:rFonts w:ascii="Calibri" w:hAnsi="Calibri"/>
          <w:b w:val="0"/>
          <w:color w:val="3A4A28"/>
          <w:sz w:val="17"/>
        </w:rPr>
        <w:t>Academy Sports + Outdoors CIO Sumit Anand AI Strategy and CIO 100 2026 Award -- CIO.com, Retail TouchPoints, Heller Search, 2026</w:t>
      </w:r>
    </w:p>
    <w:p>
      <w:pPr>
        <w:spacing w:before="20" w:after="20"/>
        <w:ind w:left="170"/>
      </w:pPr>
      <w:r>
        <w:rPr>
          <w:rFonts w:ascii="Calibri" w:hAnsi="Calibri"/>
          <w:b/>
          <w:color w:val="4A6B25"/>
          <w:sz w:val="15"/>
        </w:rPr>
        <w:t xml:space="preserve">3. </w:t>
      </w:r>
      <w:r>
        <w:rPr>
          <w:rFonts w:ascii="Calibri" w:hAnsi="Calibri"/>
          <w:b w:val="0"/>
          <w:color w:val="3A4A28"/>
          <w:sz w:val="17"/>
        </w:rPr>
        <w:t>Academy Sports and Outdoors Corporate Responsibility / ESG Purpose Statement -- investors.academy.com,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Sutherland Springs Church Shooting Litigation Against Academy Sports -- Texas Supreme Court Ruling, KUT/NPR, NBC Dallas-Fort Worth, 2019-2021</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ASO Key Statistics (Forward P/E 7.13, PEG 0.60, ROE 18.61%, D/E 90.38%),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