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ASPN</w:t>
      </w:r>
      <w:r>
        <w:rPr>
          <w:rFonts w:ascii="Calibri" w:hAnsi="Calibri"/>
          <w:b/>
          <w:color w:val="1A2010"/>
          <w:sz w:val="40"/>
        </w:rPr>
        <w:t xml:space="preserve">  Aspen Aerogels, Inc.</w:t>
      </w:r>
    </w:p>
    <w:p>
      <w:pPr>
        <w:spacing w:after="120"/>
      </w:pPr>
      <w:r>
        <w:rPr>
          <w:rFonts w:ascii="Calibri" w:hAnsi="Calibri"/>
          <w:b/>
          <w:color w:val="6E8450"/>
          <w:sz w:val="18"/>
        </w:rPr>
        <w:t>GROWTH SLEEVE · 2026-09-14 · Inspire: 59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Chemicals — Aerogel Insulation · NYSE · United States</w:t>
      </w:r>
    </w:p>
    <w:p>
      <w:pPr>
        <w:spacing w:after="80"/>
      </w:pPr>
      <w:r>
        <w:rPr>
          <w:rFonts w:ascii="Calibri" w:hAnsi="Calibri"/>
          <w:b w:val="0"/>
          <w:color w:val="3A4A28"/>
          <w:sz w:val="20"/>
        </w:rPr>
        <w:t>Aspen Aerogels designs, develops, manufactures, and sells aerogel-based insulation products for energy infrastructure and electric vehicle thermal barrier applications. The company operates through two segments: Energy Industrial (petrochemical, LNG, and power generation insulation) and Thermal Barrier (PyroThin products for EV battery thermal runaway protection). Q2 2026 revenue of $49.8M (+32% QoQ) shows accelerating recovery from the Q4 2025 facility incident, with thermal barrier revenue surging 81% sequentially to $29.5M and European revenue guidance raised to $20M-$30M for 2026 [1]. Founded in 2001, headquartered in Northborough, Massachusetts.</w:t>
      </w:r>
    </w:p>
    <w:p>
      <w:r>
        <w:rPr>
          <w:rFonts w:ascii="Calibri" w:hAnsi="Calibri"/>
          <w:b/>
          <w:color w:val="6E8450"/>
          <w:sz w:val="18"/>
        </w:rPr>
        <w:t>854 Employees · https://www.aerogel.com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Aspen Aerogels successfully developed and commercialized PyroThin thermal barrier technology for EV batteries, transforming the company from a niche industrial insulation maker (~$104M revenue in 2020) to a peak of $452.7M in FY2024 [2]. The EV thermal barrier business became the primary growth driver before the Q4 2025 facility incident disrupted production. In Q2 2026, the company raised European thermal barrier revenue guidance to $20M-$30M and is qualifying for data center and grid infrastructure applications [1]. AI Deployment (1/2): The company applies artificial intelligence to manufacturing lines for yield optimization and equipment predictive maintenance [3], representing meaningful internal AI deployment, though no quantified cost savings or AI-powered customer products have been publicly reported. Market Share (2/2): Aspen Aerogels is the undisputed global leader in commercial aerogel insulation technology, holding a dominant position in aerogel-based thermal management across both energy industrial and EV applications with an extensive patent portfolio and proprietary manufacturing processes [3]. No competitor operates at comparable scale in aerogel thermal barriers. Product Pipeline (1/2): European OEM qualifications expanding with revenue guidance raised to $20M-$30M for 2026. Energy Industrial segment targeting ~20% growth driven by LNG facility construction and subsea pipeline projects. Data center and grid infrastructure applications in qualification phase [1]. R&amp;D Intensity (1/1): As a technology-first materials company, Aspen Aerogels invests heavily in R&amp;D relative to specialty chemicals peers, with ongoing development of advanced aerogel formulations and manufacturing processes central to competitive positioning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Aspen Aerogels' purpose — to 'sustainably enable the world's need for energy efficiency and electrification' — is specific, thoughtful, and clearly differentiates from generic corporate missions [3]. The company's work on thermal barriers for EVs and insulation for energy infrastructure directly serves this purpose. CEO Don Young's 25-year tenure demonstrates sustained personal commitment to the mission. However, the purpose hasn't yet been validated through leadership transitions to earn the highest floor. Community Impact (1/2): The company established an ESG Steering Committee with cross-functional senior leadership, published an inaugural ESG Highlights Report, committed to Scope 1 and 2 carbon neutrality by 2035, and received an EcoVadis silver medal [4]. These represent genuine but early-stage commitments without specific charitable dollar amounts or community investment programs. Employee Retention (1/2): CEO Don Young's 25-year tenure is exceptional and signals deep conviction in the company's mission [3]. Leadership stability is further evidenced by planned executive succession (CFO transition, CAO appointment). Glassdoor rating of 2.9/5.0 is below average, with employees citing rapidly changing priorities, but no specific workforce turnover data is publicly available [5]. Insider Buying (1/2): Director William P. Noglows purchased $70,295 worth of ASPN stock in June 2026, and insiders were net buyers over the past year [6]. However, overall insider ownership stands at only 1.5% of shares outstanding, and some insiders have been selling.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Forward P/E and PEG excluded due to negative earnings). D/E of 49.4% scores 1.0 at 1x weight — conservative balance sheet with cash against debt providing financial durability through the recovery [2]. ROE of -75.1% floors at 0.0 at 2x weight — deep losses from the facility incident consuming the equity base. Revenue growth YoY of -40.1% (FY2025 $271.1M vs FY2024 $452.7M) floors at 0.0 at 1x weight, well below the -20% floor due to the facility incident's production disruption [2]. Revenue 5yr CAGR of approximately 21% (2020 ~$104M to 2025 $271.1M) scores 1.0 at 2x weight, reflecting the structural growth trajectory despite the 2025 setback. Profit margin deeply negative floors at 0.0 at 1x weight. Weighted sum: (1x1.0)+(2x0.0)+(1x0.0)+(2x1.0)+(1x0.0) = 3.0 / 7 max = 4.29, rounded to 4. Liquidity floor cleared: 1,881,112 avg volume x $5.85 = $11.0M [6]. Q2 2026 revenue of $49.8M (+32% QoQ) shows recovery accelerating, with Q3 guidance of $65M-$80M and management targeting EBITDA breakeven in H2 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Aspen Aerogels under Don Young's 25-year leadership demonstrates genuine commitment to a sustainability-driven purpose, with strategic decisions tracing back to enabling energy efficiency and electrification. The bold pivot to EV thermal barriers and the decision to rebuild production capacity after the Q4 2025 facility incident — rather than retreat to the smaller Energy Industrial segment — reflect infinite thinking. However, the company's organizational trust metrics (Glassdoor 2.9/5) are concerning, and the single-site manufacturing concentration that caused the crisis suggests insufficient investment in operational resilience.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Aspen Aerogels' purpose of sustainably enabling energy efficiency and electrification is genuine and distinctive, connecting aerogel technology to a larger vision of sustainability and climate resilience [3]. CEO Don Young's 25-year tenure demonstrates sustained personal commitment to this cause. The strategic pivot to EV thermal barriers was driven by this purpose, and the company's response to the facility incident — continuing to invest in recovery rather than retrenching — validates the commitment. However, the cause hasn't been tested through leadership transitions or validated by decades of consistent execution across multiple market cycles.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stability is strong — CEO Don Young's 25-year tenure and planned executive succession indicate an organized, stable culture [3]. The company's ESG Steering Committee is cross-functional, suggesting collaborative leadership structures. However, Glassdoor rating of 2.9/5.0 with reviews citing rapidly changing priorities and inconsistent messaging raises concerns about organizational trust below the C-suite [5]. The facility incident and subsequent production disruption likely added further employee stress during the recovery period.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Aspen Aerogels competes on the strength of its proprietary aerogel technology platform rather than attacking competitors. The company's competitive language focuses on the superior thermal performance, safety characteristics, and sustainability benefits of aerogel as a material solution [3]. Management discussions emphasize advancing the technology and expanding applications — qualifying for data center and grid infrastructure rather than fighting for existing markets — consistent with an improvement-oriented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successfully expanded from pure industrial energy insulation into EV battery thermal barriers, a significant market extension that transformed its revenue profile from ~$104M (2020) to $452.7M (FY2024) [2]. The response to the facility incident — diversifying to European OEMs, data center, and grid infrastructure applications rather than retreating to legacy business — shows adaptive thinking [1]. However, these represent evolution of the core aerogel technology platform into adjacent markets rather than a truly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Aspen Aerogels made significant capital investments to build thermal barrier manufacturing capacity for the EV market, betting on electrification before it became mainstream. When the Q4 2025 facility incident devastated production, management maintained its commitment to rebuilding capacity and continued investing in customer diversification and new applications rather than retreating to cost-cutting only [1]. The willingness to sustain deep losses while pursuing the long-term recovery strategy demonstrates conviction. However, the single-site manufacturing concentration that created the vulnerability suggests insufficient earlier investment in operational resilience — a leader with deeper courage would have diversified manufacturing before the crisis forced the issue.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Aspen Aerogels is the undisputed global leader in commercial aerogel insulation technology, and Q2 2026 results demonstrate the recovery is accelerating — revenue of $49.8M (+32% QoQ), thermal barrier surging 81% sequentially to $29.5M, and European revenue guidance raised to $20M-$30M for 2026 [1]. Q3 guidance of $65M-$80M implies annualized revenue approaching $280M+, with management targeting EBITDA breakeven in H2 2026. The company's monopoly-like market position in aerogel thermal barriers — protected by proprietary manufacturing processes, an extensive patent portfolio, and years-long OEM qualification cycles — provides structural competitive advantage that the temporary production disruption has not diminished [3]. The 5-year revenue CAGR of ~21% reflects the secular growth trajectory. D/E of 49.4% and adequate cash reserves provide financial durability to fund the recovery. Energy Industrial targeting 20% growth and data center/grid qualification wins provide diversification beyond the EV segment.</w:t>
      </w:r>
    </w:p>
    <w:p>
      <w:pPr>
        <w:spacing w:after="120"/>
      </w:pPr>
      <w:r>
        <w:rPr>
          <w:rFonts w:ascii="Calibri" w:hAnsi="Calibri"/>
          <w:b w:val="0"/>
          <w:color w:val="3A4A28"/>
          <w:sz w:val="20"/>
        </w:rPr>
        <w:t>The bear case remains substantial: FY2025 revenue of $271.1M represented a -40.1% collapse from FY2024's $452.7M peak, and the company generated deep losses with ROE of -75.1% and profit margin of approximately -86% on a trailing basis [2]. Even with Q2 2026 recovery, annualized revenue is still well below the pre-incident run rate, and the path from EBITDA breakeven to positive net income is uncertain. Single-site manufacturing concentration at East Providence remains unresolved — the Q4 2025 incident demonstrated that a single operational disruption can eliminate half the company's revenue and generate hundreds of millions in losses. The stock has declined ~90% from 2024 highs to $5.85, and at ~$450M market cap with no near-term path to positive earnings, the equity requires a leap of faith in management's ability to restore production. EV market deceleration risk is real — if global adoption slows or OEMs delay platform launches, thermal barrier demand could plateau. Glassdoor's 2.9/5.0 rating raises organizational health concerns [5]. The Inspire Impact Score of 59 (ALIGNED) is a positive for faith-based investors but does not offset the financial recovery risks.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Manufacturing recovery accelerating — Q3 2026 guidance of $65M-$80M implies annualized revenue approaching $280M+, with management targeting EBITDA breakeven in H2 2026 as production normalizes and operating leverage returns [1]</w:t>
      </w:r>
    </w:p>
    <w:p>
      <w:pPr>
        <w:spacing w:before="40" w:after="40"/>
        <w:ind w:left="283"/>
      </w:pPr>
      <w:r>
        <w:rPr>
          <w:rFonts w:ascii="Calibri" w:hAnsi="Calibri"/>
          <w:b/>
          <w:color w:val="4A6B25"/>
          <w:sz w:val="20"/>
        </w:rPr>
        <w:t xml:space="preserve">2. </w:t>
      </w:r>
      <w:r>
        <w:rPr>
          <w:rFonts w:ascii="Calibri" w:hAnsi="Calibri"/>
          <w:b w:val="0"/>
          <w:color w:val="3A4A28"/>
          <w:sz w:val="20"/>
        </w:rPr>
        <w:t>European OEM thermal barrier qualifications expanding — raised 2026 European revenue guidance to $20M-$30M represents a new geographic growth vector that diversifies customer concentration risk and validates PyroThin's global market opportunity [1]</w:t>
      </w:r>
    </w:p>
    <w:p>
      <w:pPr>
        <w:spacing w:before="40" w:after="40"/>
        <w:ind w:left="283"/>
      </w:pPr>
      <w:r>
        <w:rPr>
          <w:rFonts w:ascii="Calibri" w:hAnsi="Calibri"/>
          <w:b/>
          <w:color w:val="4A6B25"/>
          <w:sz w:val="20"/>
        </w:rPr>
        <w:t xml:space="preserve">3. </w:t>
      </w:r>
      <w:r>
        <w:rPr>
          <w:rFonts w:ascii="Calibri" w:hAnsi="Calibri"/>
          <w:b w:val="0"/>
          <w:color w:val="3A4A28"/>
          <w:sz w:val="20"/>
        </w:rPr>
        <w:t>Energy &amp; Industrial segment targeting 20% growth in 2026, with LNG facility construction and subsea pipeline projects providing revenue diversification and longer-duration contract visibility; data center and grid infrastructure qualification wins could open a substantial new addressable 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Single-site manufacturing concentration at East Providence remains unresolved — the Q4 2025 incident demonstrated catastrophic vulnerability, and a recurrence could be existential given the already-depressed financial position with -86% net margins and -75% ROE [2]</w:t>
      </w:r>
    </w:p>
    <w:p>
      <w:pPr>
        <w:spacing w:before="40" w:after="40"/>
        <w:ind w:left="283"/>
      </w:pPr>
      <w:r>
        <w:rPr>
          <w:rFonts w:ascii="Calibri" w:hAnsi="Calibri"/>
          <w:b/>
          <w:color w:val="4A6B25"/>
          <w:sz w:val="20"/>
        </w:rPr>
        <w:t xml:space="preserve">2. </w:t>
      </w:r>
      <w:r>
        <w:rPr>
          <w:rFonts w:ascii="Calibri" w:hAnsi="Calibri"/>
          <w:b w:val="0"/>
          <w:color w:val="3A4A28"/>
          <w:sz w:val="20"/>
        </w:rPr>
        <w:t>Path to profitability is uncertain — even EBITDA breakeven in H2 2026 is far from positive net income, and annualized revenue of ~$280M is still well below the $452.7M FY2024 level needed to support the cost structure and return to meaningful profitability [1][2]</w:t>
      </w:r>
    </w:p>
    <w:p>
      <w:pPr>
        <w:spacing w:before="40" w:after="40"/>
        <w:ind w:left="283"/>
      </w:pPr>
      <w:r>
        <w:rPr>
          <w:rFonts w:ascii="Calibri" w:hAnsi="Calibri"/>
          <w:b/>
          <w:color w:val="4A6B25"/>
          <w:sz w:val="20"/>
        </w:rPr>
        <w:t xml:space="preserve">3. </w:t>
      </w:r>
      <w:r>
        <w:rPr>
          <w:rFonts w:ascii="Calibri" w:hAnsi="Calibri"/>
          <w:b w:val="0"/>
          <w:color w:val="3A4A28"/>
          <w:sz w:val="20"/>
        </w:rPr>
        <w:t>EV market deceleration risk — if global EV adoption slows, major OEMs delay platform launches, or alternative thermal management technologies gain traction, PyroThin demand could plateau before manufacturing recovery is complete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Aspen Aerogels' core business — manufacturing advanced aerogel insulation materials for industrial energy infrastructure and EV thermal barriers — is structurally immune to AI disruption [3]. The business involves complex chemical engineering, proprietary manufacturing processes, physical material science, and safety-critical applications that AI cannot substitute. Aerogel production requires specialized equipment, deep materials expertise, and rigorous quality control for products that must prevent thermal runaway in EV batteries or insulate high-temperature industrial pipes. No analyst commentary suggests AI poses substitution risk to aerogel manufacturing. AI data center expansion may actually increase demand for the company's energy industrial insulation products as power infrastructure investment accelerates [1]. AI Opportunity (0/1): While Aspen Aerogels deploys AI internally for manufacturing yield optimization and predictive maintenance [3], the company does not generate revenue from AI-related products or services. All revenue comes from physical aerogel insulation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Aspen Aerogels Q2 FY2026 Earnings Release — Revenue $49.8M (+32% QoQ, -36% YoY), Thermal Barrier $29.5M (+81% QoQ), European Revenue Guidance $20M-$30M, Q3 Guidance $65M-$80M, EBITDA Breakeven Target H2 2026, July 2026</w:t>
      </w:r>
    </w:p>
    <w:p>
      <w:pPr>
        <w:spacing w:before="20" w:after="20"/>
        <w:ind w:left="170"/>
      </w:pPr>
      <w:r>
        <w:rPr>
          <w:rFonts w:ascii="Calibri" w:hAnsi="Calibri"/>
          <w:b/>
          <w:color w:val="4A6B25"/>
          <w:sz w:val="15"/>
        </w:rPr>
        <w:t xml:space="preserve">2. </w:t>
      </w:r>
      <w:r>
        <w:rPr>
          <w:rFonts w:ascii="Calibri" w:hAnsi="Calibri"/>
          <w:b w:val="0"/>
          <w:color w:val="3A4A28"/>
          <w:sz w:val="17"/>
        </w:rPr>
        <w:t>Aspen Aerogels FY2025 Annual Results and SEC Filings — Revenue $271.1M (-40.1% YoY from $452.7M FY2024), Facility Incident Impact, D/E 49.4%, Financial Recovery Progress, February-March 2026</w:t>
      </w:r>
    </w:p>
    <w:p>
      <w:pPr>
        <w:spacing w:before="20" w:after="20"/>
        <w:ind w:left="170"/>
      </w:pPr>
      <w:r>
        <w:rPr>
          <w:rFonts w:ascii="Calibri" w:hAnsi="Calibri"/>
          <w:b/>
          <w:color w:val="4A6B25"/>
          <w:sz w:val="15"/>
        </w:rPr>
        <w:t xml:space="preserve">3. </w:t>
      </w:r>
      <w:r>
        <w:rPr>
          <w:rFonts w:ascii="Calibri" w:hAnsi="Calibri"/>
          <w:b w:val="0"/>
          <w:color w:val="3A4A28"/>
          <w:sz w:val="17"/>
        </w:rPr>
        <w:t>Aspen Aerogels Company Website and Technology Overview — aerogel.com, Mission Statement, PyroThin Technology, Patent Portfolio, Manufacturing Processes, AI Applications,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Aspen Aerogels ESG Steering Committee Charter and Inaugural ESG Highlights Report — Carbon Neutrality by 2035, EcoVadis Silver Medal, ir.aerogel.com, 2022-2026</w:t>
      </w:r>
    </w:p>
    <w:p>
      <w:pPr>
        <w:spacing w:before="20" w:after="20"/>
        <w:ind w:left="170"/>
      </w:pPr>
      <w:r>
        <w:rPr>
          <w:rFonts w:ascii="Calibri" w:hAnsi="Calibri"/>
          <w:b/>
          <w:color w:val="4A6B25"/>
          <w:sz w:val="15"/>
        </w:rPr>
        <w:t xml:space="preserve">5. </w:t>
      </w:r>
      <w:r>
        <w:rPr>
          <w:rFonts w:ascii="Calibri" w:hAnsi="Calibri"/>
          <w:b w:val="0"/>
          <w:color w:val="3A4A28"/>
          <w:sz w:val="17"/>
        </w:rPr>
        <w:t>Glassdoor Employee Reviews — Aspen Aerogels 2.9/5.0 Rating, Employee Sentiment on Culture and Changing Priorities,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 ASPN Stock Price $5.85, Average Daily Volume 1.88M, Insider Trading Activity (Director Noglows $70K Purchase June 2026),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