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ASST</w:t>
      </w:r>
      <w:r>
        <w:rPr>
          <w:rFonts w:ascii="Calibri" w:hAnsi="Calibri"/>
          <w:b/>
          <w:color w:val="1A2010"/>
          <w:sz w:val="40"/>
        </w:rPr>
        <w:t xml:space="preserve">  Strive, Inc.</w:t>
      </w:r>
    </w:p>
    <w:p>
      <w:pPr>
        <w:spacing w:after="120"/>
      </w:pPr>
      <w:r>
        <w:rPr>
          <w:rFonts w:ascii="Calibri" w:hAnsi="Calibri"/>
          <w:b/>
          <w:color w:val="6E8450"/>
          <w:sz w:val="18"/>
        </w:rPr>
        <w:t>GROWTH SLEEVE · 2026-08-27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Strive, Inc. (formerly Asset Entities) is a publicly traded Bitcoin treasury and asset management company formed through the September 2025 reverse merger of Strive Enterprises (founded by Vivek Ramaswamy in 2022) with Asset Entities. The company manages approximately $2B in AUM across anti-ESG ETFs and direct indexing, while accumulating Bitcoin through up to $1.5B in PIPE/warrant proceeds. Led by CEO Matt Cole (formerly 15 years at CalPERS), the company reported Q2 2026 revenue of $2.94M with EPS of -$3.65 and trailing 12-month losses of $697.96M. Market cap approximately $1.8B.</w:t>
      </w:r>
    </w:p>
    <w:p>
      <w:r>
        <w:rPr>
          <w:rFonts w:ascii="Calibri" w:hAnsi="Calibri"/>
          <w:b/>
          <w:color w:val="6E8450"/>
          <w:sz w:val="18"/>
        </w:rPr>
        <w:t>28 Employees · https://www.strive.com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Strive grew AUM from zero to approximately $2B in under three years with anti-ESG ETFs and pivoted to a Bitcoin treasury strategy via reverse merger with Asset Entities, positioning itself as the first publicly traded asset management Bitcoin treasury company [2]. The pivot is bold but unproven at scale, and the merger was a reverse-merger vehicle play rather than product innovation. AI Deployment (0/2): No AI-powered products, quantified AI-driven efficiencies, or AI strategy disclosed; the company focuses on Bitcoin accumulation and ETF management without technology differentiation [4]. Market Share (1/2): Strive is the largest anti-ESG asset manager by AUM, but at approximately $2B it is a rounding error compared to BlackRock ($9T+), Vanguard ($8T+), and even mid-tier competitors [2]. The Bitcoin treasury positioning is unique but represents a marketing niche rather than structural market share. Product Pipeline (1/2): TD Cowen initiated coverage with a Buy rating and $26 target in April 2026, and the company has announced SATA digital credit products and True North media acquisition, though no next-gen products with quantified revenue timelines have been disclosed [3]. R&amp;D Intensity (0/1): No meaningful R&amp;D spend; Strive is a financial services firm without proprietary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Strive's stated mission to 'restore the foundational principles of American enterprise' centered on capitalism, meritocracy, and innovation is specific and clearly intentional but reads as political positioning rather than a transformative vision of a better future — defined more by what it opposes (ESG, DEI mandates) than what it builds [2]. Community Impact (0/2): No evidence of charitable programs, foundation activity, or community investment beyond corporate advocacy activities; the anti-ESG positioning explicitly deprioritizes stakeholder considerations beyond shareholder returns [2]. Employee Retention (0/2): With only 28 employees, founder Ramaswamy's departure for politics, and CEO Matt Cole in role since September 2025, there is no evidence of mission-driven retention or organizational stability [2]. Insider Buying (0/2): No notable open-market insider purchases identified in the last 12 months; insiders hold only 1.8% of shares, providing minimal alignment despite CEO Cole's equity-heavy compensation structure.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severely limited metrics due to the Bitcoin treasury business model. D/E of 1% is excellent (score 1.0, 1x), reflecting a balance sheet funded primarily by equity and PIPE proceeds [4]. ROE of -125.42% is deeply negative (score 0.0, 2x), driven by $697.96M TTM net loss from Bitcoin-related write-downs and operating costs on minimal revenue. Profit margin of -591.2% scores at floor (0.0, 1x). Revenue growth YoY, 5yr revenue CAGR, forward PE, and PEG are excluded as operationally unmeaningful due to the September 2025 business model transformation and meaningless negative earnings ratios. Available metrics yield: weighted sum 1.0 / max 4.0 = 0.25 x 10 = 3 (rounded from 2.5). Liquidity floor passes: ~$50.5M daily volume ($19.73 x 2.56M shares)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Strive exhibits primarily finite game characteristics — founded as a politically motivated counter to ESG investing, it has already pivoted dramatically to a Bitcoin treasury strategy within three years. The competitive language centers on 'defeating' ESG and DEI rather than building enduring value. The founder's departure for a presidential campaign, two major strategic pivots, and only 28 employees suggest optimization for positioning rather than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Strive's stated cause of 'restoring foundational principles of American enterprise' has some specificity but is defined more by what it opposes (ESG, DEI mandates) than what it builds [2]. The rapid pivot from 'depoliticize corporate America' to 'outperform Bitcoin per share' within three years undermines cause consistency. A Just Cause must be durable and resilient — Strive's purpose has already shifted fundamentally, suggesting the cause was a marketing vehicle rather than a North Star.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28 employees and no public culture data, there is no evidence of organizational trust or psychological safety [2]. The founder Ramaswamy departed for politics, creating leadership instability. CEO Cole was appointed September 2025 and is still establishing his leadership. Former Asset Entities CEO Sarkhani transitioned to CMO, adding merger integration complexity to an already small team.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Strive's competitive language is distinctly finite — framing BlackRock, Vanguard, and State Street as adversaries whose ESG practices must be 'defeated' rather than rivals whose strengths push Strive to improve [2]. The messaging about 'reshaping corporate America' and challenging the establishment positions competition as ideological warfare rather than competitive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Strive demonstrated willingness to transform, pivoting from a pure anti-ESG ETF company to a Bitcoin treasury company and merging with Asset Entities within three years [2]. The SATA digital credit product and True North media acquisition show continued business model evolution. However, this flexibility appears driven by opportunism (following the MicroStrategy/Bitcoin treasury playbook) rather than service to a consistent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Matt Cole pursued the unconventional Bitcoin treasury strategy despite massive reported losses ($697.96M TTM), and successfully advocated for other companies to adopt Bitcoin treasury strategies [2]. The willingness to stake the company's identity on a volatile asset and raise $750M+ in PIPE financing requires personal conviction. However, it remains unclear whether this reflects principled long-term thinking or speculative risk-taking riding a crypto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Strive occupies a unique niche as the first publicly traded asset management Bitcoin treasury company, combining approximately $2B AUM in anti-ESG ETFs with a Bitcoin accumulation strategy funded by $750M+ in PIPE proceeds [2]. The stock has risen 71% from $11.55 to $19.73 since the prior screen, reflecting Bitcoin price appreciation flowing through to the treasury position. CEO Matt Cole's 15-year CalPERS institutional background provides credibility, TD Cowen initiated with a Buy rating and $26 target [3], and the anti-ESG/pro-Bitcoin positioning aligns with current political tailwinds. The minimal D/E of 1% means the balance sheet is essentially unlevered, providing downside protection relative to leveraged Bitcoin proxy peers [4].</w:t>
      </w:r>
    </w:p>
    <w:p>
      <w:pPr>
        <w:spacing w:after="120"/>
      </w:pPr>
      <w:r>
        <w:rPr>
          <w:rFonts w:ascii="Calibri" w:hAnsi="Calibri"/>
          <w:b w:val="0"/>
          <w:color w:val="3A4A28"/>
          <w:sz w:val="20"/>
        </w:rPr>
        <w:t>The bear case is severe and structural: trailing 12-month losses of $697.96M on $7.03M revenue make the $1.8B market cap almost entirely a function of Bitcoin holdings and speculative sentiment rather than fundamental business value [4]. The -591% profit margin and -125% ROE indicate no viable path to operating profitability from $7M annual asset management revenue alone — the company is functionally a Bitcoin ETF with an expensive management layer. Q2 2026 EPS of -$3.65 dramatically missed the -$0.95 estimate, and the anti-ESG thesis is a cyclical political trade rather than a durable competitive advantage — if ESG sentiment shifts, the brand positioning becomes a liability. Vivek Ramaswamy's political career creates headline risk, the founder's departure and two strategic pivots in three years raise governance concerns, and the 28-person team has limited capacity to execute across asset management, Bitcoin treasury, and media operations simultaneously [2]. The Inspire Impact Score of 0 (MIXED) with no positive or negative attributions reflects the company's opacity to faith-based analysis frameworks.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Bitcoin price appreciation directly increases book value and NAV per share, providing leveraged upside to BTC through the treasury accumulation strategy funded by $750M+ in PIPE/warrant proceeds [2]</w:t>
      </w:r>
    </w:p>
    <w:p>
      <w:pPr>
        <w:spacing w:before="40" w:after="40"/>
        <w:ind w:left="283"/>
      </w:pPr>
      <w:r>
        <w:rPr>
          <w:rFonts w:ascii="Calibri" w:hAnsi="Calibri"/>
          <w:b/>
          <w:color w:val="4A6B25"/>
          <w:sz w:val="20"/>
        </w:rPr>
        <w:t xml:space="preserve">2. </w:t>
      </w:r>
      <w:r>
        <w:rPr>
          <w:rFonts w:ascii="Calibri" w:hAnsi="Calibri"/>
          <w:b w:val="0"/>
          <w:color w:val="3A4A28"/>
          <w:sz w:val="20"/>
        </w:rPr>
        <w:t>AUM growth in anti-ESG ETF platform as political and institutional sentiment continues shifting away from ESG mandates, with TD Cowen's Buy initiation at $26 target providing sell-side validation [3]</w:t>
      </w:r>
    </w:p>
    <w:p>
      <w:pPr>
        <w:spacing w:before="40" w:after="40"/>
        <w:ind w:left="283"/>
      </w:pPr>
      <w:r>
        <w:rPr>
          <w:rFonts w:ascii="Calibri" w:hAnsi="Calibri"/>
          <w:b/>
          <w:color w:val="4A6B25"/>
          <w:sz w:val="20"/>
        </w:rPr>
        <w:t xml:space="preserve">3. </w:t>
      </w:r>
      <w:r>
        <w:rPr>
          <w:rFonts w:ascii="Calibri" w:hAnsi="Calibri"/>
          <w:b w:val="0"/>
          <w:color w:val="3A4A28"/>
          <w:sz w:val="20"/>
        </w:rPr>
        <w:t>SATA digital credit product launch and True North media acquisition diversifying revenue streams beyond pure Bitcoin treasury and ETF management, potentially establishing a path to operating profitability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Bitcoin price decline could rapidly erode book value — with $697.96M TTM losses already reported, any sustained crypto downturn could threaten the equity base given only $7.03M annual operating revenue and no operating profitability path at current scale [4]</w:t>
      </w:r>
    </w:p>
    <w:p>
      <w:pPr>
        <w:spacing w:before="40" w:after="40"/>
        <w:ind w:left="283"/>
      </w:pPr>
      <w:r>
        <w:rPr>
          <w:rFonts w:ascii="Calibri" w:hAnsi="Calibri"/>
          <w:b/>
          <w:color w:val="4A6B25"/>
          <w:sz w:val="20"/>
        </w:rPr>
        <w:t xml:space="preserve">2. </w:t>
      </w:r>
      <w:r>
        <w:rPr>
          <w:rFonts w:ascii="Calibri" w:hAnsi="Calibri"/>
          <w:b w:val="0"/>
          <w:color w:val="3A4A28"/>
          <w:sz w:val="20"/>
        </w:rPr>
        <w:t>Anti-ESG positioning is a cyclical political trade, not a structural competitive advantage — if bipartisan consensus on responsible investing re-emerges or political winds shift, the brand's core differentiator becomes a liability [2]</w:t>
      </w:r>
    </w:p>
    <w:p>
      <w:pPr>
        <w:spacing w:before="40" w:after="40"/>
        <w:ind w:left="283"/>
      </w:pPr>
      <w:r>
        <w:rPr>
          <w:rFonts w:ascii="Calibri" w:hAnsi="Calibri"/>
          <w:b/>
          <w:color w:val="4A6B25"/>
          <w:sz w:val="20"/>
        </w:rPr>
        <w:t xml:space="preserve">3. </w:t>
      </w:r>
      <w:r>
        <w:rPr>
          <w:rFonts w:ascii="Calibri" w:hAnsi="Calibri"/>
          <w:b w:val="0"/>
          <w:color w:val="3A4A28"/>
          <w:sz w:val="20"/>
        </w:rPr>
        <w:t>Founder departure, two strategic pivots in three years, only 28 employees, and Q2 EPS miss (-$3.65 vs -$0.95 estimate) create compounding execution and governance risk that the market may not be pricing at $1.8B market cap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Strive's asset management business faces meaningful AI disruption risk as AI-powered robo-advisors, algorithmic trading, and automated portfolio management tools compress fees across the industry [2]. Strive's ETF products are particularly vulnerable since passive index products are increasingly commoditized by technology. The Bitcoin treasury component partially mitigates AI exposure — Bitcoin holdings cannot be substituted by AI — but the advisory revenue stream generating $7M annually remains exposed to AI-driven fee compression. The company's competitive moat relies on ideological brand positioning (anti-ESG) rather than structural barriers to AI substitution. AI Opportunity (0/1): Strive does not generate revenue from AI products or services; its revenue derives from asset management fees on a traditional ETF platform and Bitcoin treasury operations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Strive Q2 2026 Financial Results — Revenue $2.94M, EPS -$3.65 (vs. -$0.95 estimate), Bitcoin Treasury Strategy Update, August 2026</w:t>
      </w:r>
    </w:p>
    <w:p>
      <w:pPr>
        <w:spacing w:before="20" w:after="20"/>
        <w:ind w:left="170"/>
      </w:pPr>
      <w:r>
        <w:rPr>
          <w:rFonts w:ascii="Calibri" w:hAnsi="Calibri"/>
          <w:b/>
          <w:color w:val="4A6B25"/>
          <w:sz w:val="15"/>
        </w:rPr>
        <w:t xml:space="preserve">2. </w:t>
      </w:r>
      <w:r>
        <w:rPr>
          <w:rFonts w:ascii="Calibri" w:hAnsi="Calibri"/>
          <w:b w:val="0"/>
          <w:color w:val="3A4A28"/>
          <w:sz w:val="17"/>
        </w:rPr>
        <w:t>Strive Corporate Strategy and History — Reverse Merger with Asset Entities (September 2025), Bitcoin Treasury ($750M+ PIPE), Anti-ESG Thesis, CEO Matt Cole, Founder Vivek Ramaswamy Departure, strive.com, 2025-2026</w:t>
      </w:r>
    </w:p>
    <w:p>
      <w:pPr>
        <w:spacing w:before="20" w:after="20"/>
        <w:ind w:left="170"/>
      </w:pPr>
      <w:r>
        <w:rPr>
          <w:rFonts w:ascii="Calibri" w:hAnsi="Calibri"/>
          <w:b/>
          <w:color w:val="4A6B25"/>
          <w:sz w:val="15"/>
        </w:rPr>
        <w:t xml:space="preserve">3. </w:t>
      </w:r>
      <w:r>
        <w:rPr>
          <w:rFonts w:ascii="Calibri" w:hAnsi="Calibri"/>
          <w:b w:val="0"/>
          <w:color w:val="3A4A28"/>
          <w:sz w:val="17"/>
        </w:rPr>
        <w:t>TD Cowen Initiation — Buy Rating, $26 Price Target, Anti-ESG Asset Management Analysis, April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ASST Key Statistics: Stock Price $19.73, D/E 0.01, ROE -125.42%, Profit Margin -591.2%, Avg Volume 2.56M, TTM Revenue $7.03M, TTM Losses -$697.96M,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