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ASX</w:t>
      </w:r>
      <w:r>
        <w:rPr>
          <w:rFonts w:ascii="Calibri" w:hAnsi="Calibri"/>
          <w:b/>
          <w:color w:val="1A2010"/>
          <w:sz w:val="40"/>
        </w:rPr>
        <w:t xml:space="preserve">  ASE Technology Holding Co., Ltd.</w:t>
      </w:r>
    </w:p>
    <w:p>
      <w:pPr>
        <w:spacing w:after="120"/>
      </w:pPr>
      <w:r>
        <w:rPr>
          <w:rFonts w:ascii="Calibri" w:hAnsi="Calibri"/>
          <w:b/>
          <w:color w:val="6E8450"/>
          <w:sz w:val="18"/>
        </w:rPr>
        <w:t>GROWTH SLEEVE · 2026-10-14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NYQ · Taiwan</w:t>
      </w:r>
    </w:p>
    <w:p>
      <w:pPr>
        <w:spacing w:after="80"/>
      </w:pPr>
      <w:r>
        <w:rPr>
          <w:rFonts w:ascii="Calibri" w:hAnsi="Calibri"/>
          <w:b w:val="0"/>
          <w:color w:val="3A4A28"/>
          <w:sz w:val="20"/>
        </w:rPr>
        <w:t>ASE Technology Holding Co., Ltd. is the world's largest outsourced semiconductor assembly and test (OSAT) provider, commanding approximately 28-30% global market share. Headquartered in Kaohsiung, Taiwan, ASE provides IC packaging, testing, and electronic manufacturing services. Q2 2026 revenue surged 27% YoY to NT$191.1B with net income tripling to NT$21.1B, driven by AI-driven advanced packaging demand. The LEAP platform (advanced packaging for AI/HPC) is expected to double revenue to $3.2B in 2026. ASE is investing $8.5B across 15 new/expanded sites.</w:t>
      </w:r>
    </w:p>
    <w:p>
      <w:r>
        <w:rPr>
          <w:rFonts w:ascii="Calibri" w:hAnsi="Calibri"/>
          <w:b/>
          <w:color w:val="6E8450"/>
          <w:sz w:val="18"/>
        </w:rPr>
        <w:t>114,179 Employees · https://www.aseglobal.com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ASE has successfully expanded from traditional wire bonding into advanced packaging technologies including Fan-Out Chip on Substrate (FOCoS) and System-in-Package (SiP), opening significant new revenue streams in AI chip packaging [1][3]. FOCoS is entering volume production at the Kaohsiung facility in H2 2026. AI Deployment (2/2): LEAP (Linking, Embedding, and Advanced Packaging) services directly serve AI accelerator and HPC chip packaging for major customers; advanced packaging revenue is expected to double to $3.2B in 2026, with plans to double again in 2027 [1][3]. Market Share Leadership (2/2): 28-30% global OSAT market share, the undisputed category leader, beating competitor Amkor with a 30% revenue surge [3][5]. H1 2026 ATM segment grew 35% YoY, gaining share as AI-driven demand overwhelms capacity. Product Pipeline (2/2): FOCoS technology for next-generation chiplet architectures has specific customer qualifications, with 15 new/expanded sites and $8.5B investment budget providing visible multi-year capacity expansion. Q3 guidance of 21-22% sequential growth signals continued acceleration [1][2]. R&amp;D Intensity (1/1): Above-average R&amp;D investment relative to OSAT peers, focused on heterogeneous integration, advanced substrate technologies, and panel-level packaging research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ASE's corporate sustainability framework built on four pillars — Low Carbon, Circular, Inclusive, Collaborative — demonstrates genuine intentionality beyond generic statements, with 9 consecutive years on the Dow Jones Sustainability Indices validating the commitment [6][7]. However, the framework reads more as a sustainability strategy than a transcendent purpose that inspires sacrifice. Community Impact (1/2): ESG performance comprises 10% of supplier evaluation scores, and ASE has established sustainability disclosure standards ahead of 2027 regulatory requirements. The company holds MSCI ESG A rating, FTSE4Good Emerging Index inclusion, and Sustainalytics low-risk rating (30th out of 378 semiconductor companies) [7]. However, the 2013 Kaohsiung wastewater discharge controversy — toxic nickel-contaminated wastewater polluting 1,390 hectares of farmland — remains a historical stain despite subsequent remediation. Employee Retention (0/2): No publicly available employee retention data or average tenure statistics. COO Tien Wu has served since 2018, suggesting leadership stability, but no broader retention evidence.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now available. D/E of 70.6% is essentially at the 70% target (score 1.0). ROE improved significantly to 17.0% from 11.6% in August, now exceeding the 15% target (score 1.0, 2× weight) as AI-driven margin expansion takes hold [4]. Revenue growth of 26.7% YoY far exceeds the 10% target (score 1.0), while the 5-year CAGR of ~8% is moderate (score 0.87, 2× weight) reflecting the 2023 semiconductor downcycle trough [1][2]. Forward P/E of 22.2 is slightly above the 20 target (score 0.95), substantially improved from 27.7 in August as forward EPS estimates rose to $2.15. Profit margin of 8.6% is below the 20% target (score 0.43), though improving from 6.3% as scale and mix benefits materialize [4]. The PEG ratio of 4.96 is above the 3.0 floor (score 0.0, 2× weight), which is the primary drag — this reflects the high trailing P/E against a moderated long-term growth estimate. Daily dollar volume of ~$350M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ASE Technology operates with competent execution but limited transcendent purpose. The company's four-pillar sustainability framework and 9 consecutive years on the DJSI demonstrate institutional commitment to sustainability. Strategic decisions are fundamentally driven by customer demand signals and capacity planning, but COO Wu's openness to rival technologies and willingness to invest $8.5B in expansion during uncertain times show elements of long-term thinking beyond quarterly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ASE's Low Carbon, Circular, Inclusive, Collaborative framework is thoughtful but reads as a sustainability overlay on a fundamentally commercial mission — being the world's best semiconductor packaging company [6]. This is a competitive position, not an idealistic vision of a future worth sacrificing for. The company's communications focus on market share, revenue milestones, and technology leadership rather than articulating why the world needs ASE to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ASE employs 114,179 people globally with relatively stable leadership — COO Tien Wu has served since 2018 and CFO Joseph Tung provides continuity [3]. The 42-year corporate history (founded 1984) and multi-decade workforce scale suggest organizational stability. The company's non-discrimination policies and compliance framework suggest adequate governance, but no evidence of exceptional psychological safety or above-average retention metrics. Average for a large Taiwanese semiconductor manufacturer.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COO Wu demonstrated genuine infinite competitive mindset by stating that if an alternative technology offered the same yield to resolve the AI bottleneck, ASE would welcome it — acknowledging capacity constraints are shared industry challenges rather than competitive weapons [5]. Rather than dismissing rival Powertech's panel-level packaging technology for AMD, ASE acknowledged its potential cost advantages. The company's focus on supporting TSMC's CoWoS ecosystem reflects collaborative competition rather than zero-sum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ASE has evolved meaningfully from traditional IC packaging to advanced packaging technologies (SiP, FOCoS, LEAP), representing a significant but incremental business model extension [3][5]. The shift to serving AI chip packaging demonstrates technological adaptability, with FOCoS entering volume production in H2 2026. The $8.5B investment in 15 new sites represents a transformative capital commitment. However, ASE remains firmly anchored in semiconductor packaging — there has been no existential flexibility test requiring abandonment of core capabilities.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ASE invested in advanced packaging R&amp;D capacity during the 2023 semiconductor downcycle when industry peers pulled back, positioning itself to capture the AI packaging wave [1]. The company raised capex by $2B for 2026, committing $8.5B across 15 new/expanded sites despite geopolitical uncertainty around Taiwan [5]. These are large, long-term bets. However, the decisions followed clear customer demand signals from AI chip designers rather than representing purpose-driven sacrifices against near-term interests.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ASE Technology at $47.60 is the indispensable picks-and-shovels play for the AI semiconductor buildout, with Q2 2026 revenue surging 27% YoY to NT$191.1B and net income tripling as advanced packaging demand overwhelms global capacity [1][2]. The LEAP platform revenue is expected to double to $3.2B in 2026 and double again in 2027, while H1 2026 ATM segment grew 35% YoY with Q3 guidance for 21-22% sequential growth and 20.5-21.5% gross margin [1][3]. At 22.2x forward earnings — substantially improved from 27.7x in August as forward EPS rose to $2.15 — ASE trades at a meaningful discount to TSMC despite holding 28-30% OSAT market share in a structurally growing market. ROE improved from 11.6% to 17.0%, confirming margin expansion. The $8.5B capex plan across 15 new/expanded sites ensures multi-year growth visibility [5].</w:t>
      </w:r>
    </w:p>
    <w:p>
      <w:pPr>
        <w:spacing w:after="120"/>
      </w:pPr>
      <w:r>
        <w:rPr>
          <w:rFonts w:ascii="Calibri" w:hAnsi="Calibri"/>
          <w:b w:val="0"/>
          <w:color w:val="3A4A28"/>
          <w:sz w:val="20"/>
        </w:rPr>
        <w:t>The bear case centers on valuation and concentration risk. The trailing P/E of 56.7x and PEG of 4.96 reflect the disconnect between trailing earnings (still impacted by the 2023 downcycle) and forward estimates that price in sustained AI-driven growth [4]. Profit margin of 8.6% — though improving from 6.3% — remains well below technology sector norms, reflecting structural challenges in a capital-intensive service business where customers (TSMC, NVIDIA, AMD) capture the majority of AI value chain economics. Taiwan geopolitical concentration creates binary risk — ASE's leading-edge capacity is in Taiwan, which is 'very, very full' per management, and any cross-strait escalation would devastate the stock [3]. Rival Powertech is developing panel-level packaging technology for AMD that could be more cost-effective, creating potential technological disruption within the OSAT sector itself. The $8.5B capex commitment increases operating leverage, magnifying downside if the AI supercycle overshoots and demand corrects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LEAP advanced packaging revenue doubling to $3.2B in 2026 and doubling again in 2027, driven by AI accelerator demand from major chip designers including NVIDIA and AMD — advanced packaging is the recognized bottleneck for AI infrastructure [1][3]</w:t>
      </w:r>
    </w:p>
    <w:p>
      <w:pPr>
        <w:spacing w:before="40" w:after="40"/>
        <w:ind w:left="283"/>
      </w:pPr>
      <w:r>
        <w:rPr>
          <w:rFonts w:ascii="Calibri" w:hAnsi="Calibri"/>
          <w:b/>
          <w:color w:val="4A6B25"/>
          <w:sz w:val="20"/>
        </w:rPr>
        <w:t xml:space="preserve">2. </w:t>
      </w:r>
      <w:r>
        <w:rPr>
          <w:rFonts w:ascii="Calibri" w:hAnsi="Calibri"/>
          <w:b w:val="0"/>
          <w:color w:val="3A4A28"/>
          <w:sz w:val="20"/>
        </w:rPr>
        <w:t>Q3 2026 guidance of 21-22% sequential revenue growth with gross margins expanding to 20.5-21.5%, signaling continued acceleration and profitability improvement in H2 2026 [2]</w:t>
      </w:r>
    </w:p>
    <w:p>
      <w:pPr>
        <w:spacing w:before="40" w:after="40"/>
        <w:ind w:left="283"/>
      </w:pPr>
      <w:r>
        <w:rPr>
          <w:rFonts w:ascii="Calibri" w:hAnsi="Calibri"/>
          <w:b/>
          <w:color w:val="4A6B25"/>
          <w:sz w:val="20"/>
        </w:rPr>
        <w:t xml:space="preserve">3. </w:t>
      </w:r>
      <w:r>
        <w:rPr>
          <w:rFonts w:ascii="Calibri" w:hAnsi="Calibri"/>
          <w:b w:val="0"/>
          <w:color w:val="3A4A28"/>
          <w:sz w:val="20"/>
        </w:rPr>
        <w:t>FOCoS platform entering volume production at Kaohsiung facility in H2 2026 for next-generation chiplet architectures, positioning ASE to capture heterogeneous integration demand as Moore's Law scaling slows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Taiwan concentration risk — all leading-edge advanced packaging capacity is in Taiwan, where geopolitical tensions with China create existential binary risk for the stock and global semiconductor supply chain [3]</w:t>
      </w:r>
    </w:p>
    <w:p>
      <w:pPr>
        <w:spacing w:before="40" w:after="40"/>
        <w:ind w:left="283"/>
      </w:pPr>
      <w:r>
        <w:rPr>
          <w:rFonts w:ascii="Calibri" w:hAnsi="Calibri"/>
          <w:b/>
          <w:color w:val="4A6B25"/>
          <w:sz w:val="20"/>
        </w:rPr>
        <w:t xml:space="preserve">2. </w:t>
      </w:r>
      <w:r>
        <w:rPr>
          <w:rFonts w:ascii="Calibri" w:hAnsi="Calibri"/>
          <w:b w:val="0"/>
          <w:color w:val="3A4A28"/>
          <w:sz w:val="20"/>
        </w:rPr>
        <w:t>PEG ratio of 4.96 and trailing P/E of 56.7x reflect premium pricing that requires sustained AI demand execution — any deceleration in AI capex or customer order cancellations would compress the multiple sharply from $47.60 [4]</w:t>
      </w:r>
    </w:p>
    <w:p>
      <w:pPr>
        <w:spacing w:before="40" w:after="40"/>
        <w:ind w:left="283"/>
      </w:pPr>
      <w:r>
        <w:rPr>
          <w:rFonts w:ascii="Calibri" w:hAnsi="Calibri"/>
          <w:b/>
          <w:color w:val="4A6B25"/>
          <w:sz w:val="20"/>
        </w:rPr>
        <w:t xml:space="preserve">3. </w:t>
      </w:r>
      <w:r>
        <w:rPr>
          <w:rFonts w:ascii="Calibri" w:hAnsi="Calibri"/>
          <w:b w:val="0"/>
          <w:color w:val="3A4A28"/>
          <w:sz w:val="20"/>
        </w:rPr>
        <w:t>Competitive disruption from Powertech's panel-level packaging technology for AMD, which is considered more cost-effective than chip-on-wafer-on-substrate, could erode ASE's technology premium in AI packaging within 12-18 months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ASE IS AI infrastructure — it physically packages and tests the AI chips that power the entire AI ecosystem. AI cannot displace semiconductor packaging, which requires precision physical manufacturing at nanometer scale; instead, AI expansion directly drives demand for ASE's advanced packaging services [3][5]. COO Tien Wu stated that AI hardware requirements are 'new, insatiable, and more complex,' creating structural capacity bottlenecks that benefit ASE. The company plans 15 new/expanded sites with $8.5B investment to address AI-driven demand [5]. Advanced packaging is now the recognized bottleneck for AI chip production, with TSMC's CoWoS technology (which ASE supports) limiting AI accelerator supply. No analyst views AI as a threat to ASE — it is unanimously viewed as the primary growth driver. AI Opportunity (1/1): Advanced packaging revenue is expected to double to $3.2B in 2026, driven entirely by AI accelerator and HPC packaging demand from major chip designers. LEAP services directly serve AI customers with quantifiable, rapidly growing revenue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ASE Technology Q2 FY2026 Earnings — Revenue NT$191.1B (up 27% YoY), Net Income NT$21.1B (tripled), ATM 35% Growth — Quartr, SEC Filing, July-August 2026</w:t>
      </w:r>
    </w:p>
    <w:p>
      <w:pPr>
        <w:spacing w:before="20" w:after="20"/>
        <w:ind w:left="170"/>
      </w:pPr>
      <w:r>
        <w:rPr>
          <w:rFonts w:ascii="Calibri" w:hAnsi="Calibri"/>
          <w:b/>
          <w:color w:val="4A6B25"/>
          <w:sz w:val="15"/>
        </w:rPr>
        <w:t xml:space="preserve">2. </w:t>
      </w:r>
      <w:r>
        <w:rPr>
          <w:rFonts w:ascii="Calibri" w:hAnsi="Calibri"/>
          <w:b w:val="0"/>
          <w:color w:val="3A4A28"/>
          <w:sz w:val="17"/>
        </w:rPr>
        <w:t>ASE Technology Q1 FY2026 Results — Revenue NT$173.7B (up 17.2%), Net Income NT$14.1B (up 85%), EPS Growth — Munich Startup Insights, SEC 6-K, April 2026</w:t>
      </w:r>
    </w:p>
    <w:p>
      <w:pPr>
        <w:spacing w:before="20" w:after="20"/>
        <w:ind w:left="170"/>
      </w:pPr>
      <w:r>
        <w:rPr>
          <w:rFonts w:ascii="Calibri" w:hAnsi="Calibri"/>
          <w:b/>
          <w:color w:val="4A6B25"/>
          <w:sz w:val="15"/>
        </w:rPr>
        <w:t xml:space="preserve">3. </w:t>
      </w:r>
      <w:r>
        <w:rPr>
          <w:rFonts w:ascii="Calibri" w:hAnsi="Calibri"/>
          <w:b w:val="0"/>
          <w:color w:val="3A4A28"/>
          <w:sz w:val="17"/>
        </w:rPr>
        <w:t>ASE Technology Q2 Earnings Call Highlights — Q3 Guidance 21-22% Sequential Growth, 20.5-21.5% Gross Margin, ATM 35% Full-Year Growth — Nasdaq, MarketBeat, July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ASX Key Statistics: Stock Price $47.60, Forward P/E 22.18, PEG 4.96, D/E 70.6%, ROE 17.0%, Market Cap $104.7B,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ASE Technology AI and Advanced Packaging Strategy — Advanced Packaging Doubling to $3.2B, 15 New Sites, $8.5B Investment, FOCoS Volume Production, Powertech Competition — Yahoo Finance, Taipei Times, Igor's Lab, Nasdaq, Zacks, 2026</w:t>
      </w:r>
    </w:p>
    <w:p>
      <w:pPr>
        <w:spacing w:before="20" w:after="20"/>
        <w:ind w:left="170"/>
      </w:pPr>
      <w:r>
        <w:rPr>
          <w:rFonts w:ascii="Calibri" w:hAnsi="Calibri"/>
          <w:b/>
          <w:color w:val="4A6B25"/>
          <w:sz w:val="15"/>
        </w:rPr>
        <w:t xml:space="preserve">6. </w:t>
      </w:r>
      <w:r>
        <w:rPr>
          <w:rFonts w:ascii="Calibri" w:hAnsi="Calibri"/>
          <w:b w:val="0"/>
          <w:color w:val="3A4A28"/>
          <w:sz w:val="17"/>
        </w:rPr>
        <w:t>ASE Global — Corporate Sustainability: Low Carbon, Circular, Inclusive, Collaborative Four-Pillar Framework, 2013 Kaohsiung Wastewater Incident — Corporate Website, CET-Taiwan.org</w:t>
      </w:r>
    </w:p>
    <w:p>
      <w:pPr>
        <w:spacing w:before="20" w:after="20"/>
        <w:ind w:left="170"/>
      </w:pPr>
      <w:r>
        <w:rPr>
          <w:rFonts w:ascii="Calibri" w:hAnsi="Calibri"/>
          <w:b/>
          <w:color w:val="4A6B25"/>
          <w:sz w:val="15"/>
        </w:rPr>
        <w:t xml:space="preserve">7. </w:t>
      </w:r>
      <w:r>
        <w:rPr>
          <w:rFonts w:ascii="Calibri" w:hAnsi="Calibri"/>
          <w:b w:val="0"/>
          <w:color w:val="3A4A28"/>
          <w:sz w:val="17"/>
        </w:rPr>
        <w:t>ASE Technology ESG Recognition — 9 Consecutive Years on DJSI, MSCI A Rating, FTSE4Good Emerging Index, Sustainalytics Low Risk (30/378) — BusinessWire, ASEGlobal.com, December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