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w:t>
      </w:r>
      <w:r>
        <w:rPr>
          <w:rFonts w:ascii="Calibri" w:hAnsi="Calibri"/>
          <w:b/>
          <w:color w:val="1A2010"/>
          <w:sz w:val="40"/>
        </w:rPr>
        <w:t xml:space="preserve">  Amer Sports, Inc.</w:t>
      </w:r>
    </w:p>
    <w:p>
      <w:pPr>
        <w:spacing w:after="120"/>
      </w:pPr>
      <w:r>
        <w:rPr>
          <w:rFonts w:ascii="Calibri" w:hAnsi="Calibri"/>
          <w:b/>
          <w:color w:val="6E8450"/>
          <w:sz w:val="18"/>
        </w:rPr>
        <w:t>GROWTH SLEEVE · 2026-08-27 · Inspire: 22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NYSE · Finland</w:t>
      </w:r>
    </w:p>
    <w:p>
      <w:pPr>
        <w:spacing w:after="80"/>
      </w:pPr>
      <w:r>
        <w:rPr>
          <w:rFonts w:ascii="Calibri" w:hAnsi="Calibri"/>
          <w:b w:val="0"/>
          <w:color w:val="3A4A28"/>
          <w:sz w:val="20"/>
        </w:rPr>
        <w:t>Amer Sports designs, manufactures, and distributes premium sports equipment, apparel, and footwear through iconic brands including Arc'teryx (technical apparel), Salomon (outdoor performance footwear and softgoods), Wilson (ball and racquet sports), and Peak Performance. Majority-owned by ANTA Sports, the company IPO'd on the NYSE in January 2024. Q2 2026 revenue grew 32% YoY with adjusted gross margin expanding 710 basis points to 65.8%, and FY2026 guidance raised to approximately 24% revenue growth with adjusted EPS of $1.27-$1.30. Market cap approximately $18.1B.</w:t>
      </w:r>
    </w:p>
    <w:p>
      <w:r>
        <w:rPr>
          <w:rFonts w:ascii="Calibri" w:hAnsi="Calibri"/>
          <w:b/>
          <w:color w:val="6E8450"/>
          <w:sz w:val="18"/>
        </w:rPr>
        <w:t>13,400 Employees · https://www.amersports.com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Arc'teryx has been transformed from a niche mountaineering brand into a global luxury-outdoor phenomenon, with Technical Apparel revenue continuing to lead all segments, while Salomon crossed $2B in annual sales through expansion from ski boots into trail running and lifestyle categories [1][2]. Wilson Tennis 360 platform represents meaningful product-category innovation. AI Deployment (1/2): Amer Sports has embedded generative AI tools across productivity, content, analysis, and operational support, with an active AI program running in parallel with core systems and plans to amplify investments in 2026, though no customer-facing AI products have shipped [3]. Market Share (2/2): Arc'teryx is the fastest-growing premium outdoor apparel brand globally, Salomon holds trail running category leadership, and Wilson maintains dominant tennis equipment share — DTC grew to 55% of Q2 revenue, a record high, demonstrating category-defining brand strength [1]. Product Pipeline (1/2): Continuous product development across brands with FY2026 guidance raised to ~24% revenue growth and long-term mid-teens growth algorithm, though specific next-generation product launches are not individually detailed beyond ongoing brand cadence [1][2]. R&amp;D Intensity (1/1): Product innovation is core to each brand's identity with Arc'teryx and Salomon investing in materials science and performance technology above industry norms for sporting goods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 Sports' purpose of 'elevating the world through sport' is clear and identifies what the company does, but lacks the transformative depth of a truly distinctive cause — interchangeable among premium sporting goods peers [3]. Community Impact (1/2): ISS ESG 'Prime' rating in January 2026, Sustainalytics Industry ESG Risk Leader Badge (score 10.7), and A- CDP Climate rating maintained for two consecutive years demonstrate institutional commitment to sustainability, though no specific charitable dollar amounts were identified [3]. Employee Retention (1/2): CEO James Zheng has served since 2020 with stable brand-level leaders (Stuart Haselden at Arc'teryx, Guillaume Meyzenq at Salomon, Carrie Ask at Wilson), providing consistent strategic direction across the portfolio [2]. Insider Buying (0/2): Significant net insider selling in 2026 — CEO Zheng sold $17.2M in shares and CFO Andrew Page sold $3.9M, with insiders showing only sales and no purchases in the last 3 months, signaling leadership views the current valuation as full.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strong metrics across most dimensions. D/E of 16% well below 70% target (score 1.0, 1x). ROE of 9.15% below the 15% target (score 0.61, 2x). Revenue growth YoY of 32% far exceeds 10% target (score 1.0, 1x) [1]. 5yr revenue CAGR of approximately 20% exceeds 10% target (score 1.0, 2x). Forward P/E of 21.99 slightly above 20 target (score 0.95, 1x) [4]. Profit margin of 7.35% below 20% target (score 0.37, 1x), reflecting the investment-heavy growth phase with DTC expansion and Asia Pacific scaling. Forward PEG of 0.89 excellent for a high-growth company (score 1.0, 2x), indicating strong growth-adjusted valuation. Q2 2026 adjusted gross margin of 65.8% expanded 710 bps YoY, aided by $64.3M in tariff refunds following the Supreme Court IEEPA ruling [1]. Daily liquidity of ~$209M easily clears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Amer Sports under CEO Zheng and the ANTA consortium has demonstrated commitment to long-term brand building, maintaining premium pricing discipline through tariff disruption and investing heavily in DTC expansion. However, the company is early in its public market journey (IPO'd January 2024) and significant insider selling by the CEO and CFO in 2026 creates ambiguity about long-term conviction. The brand-level autonomy structure reflects genuine organizational trust, though ANTA's governance influence adds complexity.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'Elevating the world through sport' connects the portfolio brands to enabling athletic achievement and outdoor exploration, shaping strategy: Arc'teryx prioritizes performance over fashion, Salomon invests in trail running community building, Wilson partners with athletes globally [3]. However, the cause hasn't been tested across decades of consistent public market execution — the company IPO'd in 2024 and was previously a Finnish conglomerate with a different identity.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Each brand operates with significant independence under experienced leaders (Haselden at Arc'teryx, Meyzenq at Salomon, Ask at Wilson), and the Global Leadership Team structure empowers brand-level decision-making [2]. CEO Zheng's 6+ year tenure provides stability. However, the ANTA consortium controlling ownership and the appointment of ANTA executive Wei Lin to the board introduces external governance dynamics that may limit autonomous decision-making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Amer Sports competes against The North Face, Patagonia, Nike, and adidas across segments, and its competitive language consistently focuses on product differentiation and 'brand-led excellence' rather than defeating rivals [1][3]. Management frames competition as motivation to sharpen distinctive brand identities through superior product innovation rather than engaging in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ANTA-led transformation of Arc'teryx from niche mountaineering to mainstream luxury-outdoor and Salomon's pivot from ski hardware to trail running softgoods represent meaningful business model evolution [1][2]. However, these pivots were enabled by private ownership capital rather than public market courage, and the company has not faced a true existential test as a public company requiring sacrifice of near-term earnings.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Amer Sports maintained premium pricing discipline through tariff disruption rather than discounting, and the Q2 2026 gross margin expansion to 65.8% (+710 bps) demonstrates brand-over-earnings commitment [1]. Management invested aggressively in DTC expansion and Asia Pacific scaling while consistently raising guidance. However, these investments are funded by strong momentum rather than representing costly sacrifice — the company has not yet faced choosing between investment and returns under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 Sports is executing one of the most compelling brand-building stories in global sporting goods, with Q2 2026 revenue surging 32% YoY and adjusted gross margin expanding an extraordinary 710 basis points to 65.8%, while all segments, geographies, and channels achieved strong double-digit growth [1]. Arc'teryx continues as the breakout driver with Technical Apparel leading the portfolio, Salomon crossed $2B in annual sales, and DTC reached a record 55% of Q2 revenue. At a PEG of 0.89 on a forward P/E of 22x, the stock offers rare growth-at-a-reasonable-price among premium consumer brands, with FY2026 guidance raised to ~24% revenue growth and adjusted EPS of $1.27-$1.30 [4]. Asia Pacific revenue surged 60% in Q2 with Greater China up 36%, leveraging ANTA's strategic advantage in the world's second-largest consumer market [1].</w:t>
      </w:r>
    </w:p>
    <w:p>
      <w:pPr>
        <w:spacing w:after="120"/>
      </w:pPr>
      <w:r>
        <w:rPr>
          <w:rFonts w:ascii="Calibri" w:hAnsi="Calibri"/>
          <w:b w:val="0"/>
          <w:color w:val="3A4A28"/>
          <w:sz w:val="20"/>
        </w:rPr>
        <w:t>The primary risks center on governance, insider selling, and cyclicality. CEO Zheng sold $17.2M in shares and CFO Page sold $3.9M in 2026, with no insider purchases identified — meaningful conviction concerns for a stock trading at 32x trailing earnings [4]. The ANTA consortium's 52% controlling stake creates governance asymmetry, and the appointment of ANTA executive Wei Lin to the board heightens related-party transaction concerns. The $64.3M tariff refund that boosted Q2 gross margin is a one-time benefit creating a tough comparison for future quarters. ROE of 9.15% and profit margin of 7.35% remain well below targets, reflecting the company's ongoing investment phase [4]. Heavy Asia Pacific exposure (60% Q2 growth) introduces geopolitical and consumer sentiment concentration risk. The stock's 24% decline over the past year despite strong operational results suggests the market already prices in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Asia Pacific revenue acceleration — Q2 2026 growth of 60% with Greater China up 36% indicates a long runway for premium outdoor brand penetration in the world's second-largest consumer market, leveraging ANTA's distribution expertise [1]</w:t>
      </w:r>
    </w:p>
    <w:p>
      <w:pPr>
        <w:spacing w:before="40" w:after="40"/>
        <w:ind w:left="283"/>
      </w:pPr>
      <w:r>
        <w:rPr>
          <w:rFonts w:ascii="Calibri" w:hAnsi="Calibri"/>
          <w:b/>
          <w:color w:val="4A6B25"/>
          <w:sz w:val="20"/>
        </w:rPr>
        <w:t xml:space="preserve">2. </w:t>
      </w:r>
      <w:r>
        <w:rPr>
          <w:rFonts w:ascii="Calibri" w:hAnsi="Calibri"/>
          <w:b w:val="0"/>
          <w:color w:val="3A4A28"/>
          <w:sz w:val="20"/>
        </w:rPr>
        <w:t>DTC mix expansion toward 60%+ of revenue driving sustained margin improvement as Amer Sports captures more brand premium through owned retail and e-commerce versus wholesale channels [1]</w:t>
      </w:r>
    </w:p>
    <w:p>
      <w:pPr>
        <w:spacing w:before="40" w:after="40"/>
        <w:ind w:left="283"/>
      </w:pPr>
      <w:r>
        <w:rPr>
          <w:rFonts w:ascii="Calibri" w:hAnsi="Calibri"/>
          <w:b/>
          <w:color w:val="4A6B25"/>
          <w:sz w:val="20"/>
        </w:rPr>
        <w:t xml:space="preserve">3. </w:t>
      </w:r>
      <w:r>
        <w:rPr>
          <w:rFonts w:ascii="Calibri" w:hAnsi="Calibri"/>
          <w:b w:val="0"/>
          <w:color w:val="3A4A28"/>
          <w:sz w:val="20"/>
        </w:rPr>
        <w:t>Adjusted operating margin expansion from 12.8% in Q2 toward the mid-teens long-term target as brand scale, DTC penetration, and supply chain optimization compound — management has raised guidance in each of the last four quarters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Macro sensitivity to consumer discretionary spending — premium outdoor apparel and sporting goods face demand compression in downturns, and the 32x trailing PE provides limited downside cushion if growth decelerates from the 30%+ pace [4]</w:t>
      </w:r>
    </w:p>
    <w:p>
      <w:pPr>
        <w:spacing w:before="40" w:after="40"/>
        <w:ind w:left="283"/>
      </w:pPr>
      <w:r>
        <w:rPr>
          <w:rFonts w:ascii="Calibri" w:hAnsi="Calibri"/>
          <w:b/>
          <w:color w:val="4A6B25"/>
          <w:sz w:val="20"/>
        </w:rPr>
        <w:t xml:space="preserve">2. </w:t>
      </w:r>
      <w:r>
        <w:rPr>
          <w:rFonts w:ascii="Calibri" w:hAnsi="Calibri"/>
          <w:b w:val="0"/>
          <w:color w:val="3A4A28"/>
          <w:sz w:val="20"/>
        </w:rPr>
        <w:t>ANTA Sports majority ownership and governance structure limits minority shareholder influence; CEO and CFO insider selling totaling $21.1M in 2026 signals leadership may view the current valuation as full rather than an investment opportunity [4]</w:t>
      </w:r>
    </w:p>
    <w:p>
      <w:pPr>
        <w:spacing w:before="40" w:after="40"/>
        <w:ind w:left="283"/>
      </w:pPr>
      <w:r>
        <w:rPr>
          <w:rFonts w:ascii="Calibri" w:hAnsi="Calibri"/>
          <w:b/>
          <w:color w:val="4A6B25"/>
          <w:sz w:val="20"/>
        </w:rPr>
        <w:t xml:space="preserve">3. </w:t>
      </w:r>
      <w:r>
        <w:rPr>
          <w:rFonts w:ascii="Calibri" w:hAnsi="Calibri"/>
          <w:b w:val="0"/>
          <w:color w:val="3A4A28"/>
          <w:sz w:val="20"/>
        </w:rPr>
        <w:t>Tariff policy and trade volatility — while the Supreme Court IEEPA ruling provided a $64.3M Q2 refund benefit, future trade policy changes could reverse this tailwind, and the global supply chain remains exposed to cross-border manufacturing costs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Amer Sports operates in physical sporting goods — designing, manufacturing, and retailing technical apparel (Arc'teryx), footwear (Salomon), and equipment (Wilson) that AI cannot substitute [1]. The DTC channel growth to 55% of revenue relies on physical store expansion and experiential retail immune to AI displacement. No analysts have flagged AI as a substitution risk for premium sporting goods. The brand equity built on decades of materials science and performance credibility cannot be digitally replicated. Some moderate exposure exists through e-commerce channels where AI-powered competitors optimize pricing and personalization [3]. AI Opportunity (0/1): Amer Sports deploys AI internally for demand planning and inventory optimization, but does not generate customer-facing AI revenue or quantifiable AI-derived income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 Sports Q2 2026 Earnings — Revenue $1.63B (+32% YoY), Adjusted Gross Margin 65.8% (+710 bps), DTC 55% of Revenue, Asia Pacific +60%, FY2026 Guidance Raised to ~24% Growth, Adjusted EPS $1.27-$1.30, August 2026</w:t>
      </w:r>
    </w:p>
    <w:p>
      <w:pPr>
        <w:spacing w:before="20" w:after="20"/>
        <w:ind w:left="170"/>
      </w:pPr>
      <w:r>
        <w:rPr>
          <w:rFonts w:ascii="Calibri" w:hAnsi="Calibri"/>
          <w:b/>
          <w:color w:val="4A6B25"/>
          <w:sz w:val="15"/>
        </w:rPr>
        <w:t xml:space="preserve">2. </w:t>
      </w:r>
      <w:r>
        <w:rPr>
          <w:rFonts w:ascii="Calibri" w:hAnsi="Calibri"/>
          <w:b w:val="0"/>
          <w:color w:val="3A4A28"/>
          <w:sz w:val="17"/>
        </w:rPr>
        <w:t>Amer Sports Q1 2026 Earnings — Revenue $1.945B (+32% YoY), All Regions Double-Digit Growth, Salomon $2B+ Annual Sales,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Amer Sports Corporate Website — Sustainability (ISS ESG Prime, Sustainalytics Leader, A- CDP Climate), IT Modernization with AI, Brand Strategy, Leadership,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AS Key Statistics: Stock Price $31.08, Forward PE 21.99, PEG 0.89, D/E 0.16, ROE 9.15%, Profit Margin 7.35%, Avg Volume 6.72M, 52-Week Change -23.6%,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