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ATAI</w:t>
      </w:r>
      <w:r>
        <w:rPr>
          <w:rFonts w:ascii="Calibri" w:hAnsi="Calibri"/>
          <w:b/>
          <w:color w:val="1A2010"/>
          <w:sz w:val="40"/>
        </w:rPr>
        <w:t xml:space="preserve">  AtaiBeckley Inc.</w:t>
      </w:r>
    </w:p>
    <w:p>
      <w:pPr>
        <w:spacing w:after="120"/>
      </w:pPr>
      <w:r>
        <w:rPr>
          <w:rFonts w:ascii="Calibri" w:hAnsi="Calibri"/>
          <w:b/>
          <w:color w:val="6E8450"/>
          <w:sz w:val="18"/>
        </w:rPr>
        <w:t>GROWTH SLEEVE · 2026-10-17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AtaiBeckley Inc. (formerly atai Life Sciences) is a clinical-stage biopharmaceutical company developing rapid-acting psychedelic and psychedelic-inspired therapies for treatment-resistant mental health conditions. Formed through the November 2025 combination of atai Life Sciences and Beckley Psytech, the company's lead asset BPL-003 (mebufotenin benzoate) is Phase 3-ready for treatment-resistant depression. Pipeline includes VLS-01 (DMT film, Phase 2), EMP-01 (R-MDMA, Phase 2), and multiple preclinical compounds. Eli Lilly has agreed to acquire AtaiBeckley for $6.75/share plus up to $2.50 in CVRs, with closing expected Q3 2026. CEO Srinivas Rao, M.D., Ph.D. leads from New York.</w:t>
      </w:r>
    </w:p>
    <w:p>
      <w:r>
        <w:rPr>
          <w:rFonts w:ascii="Calibri" w:hAnsi="Calibri"/>
          <w:b/>
          <w:color w:val="6E8450"/>
          <w:sz w:val="18"/>
        </w:rPr>
        <w:t>99 Employees · https://www.ataibeckley.com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strategic combination of atai Life Sciences and Beckley Psytech (November 2025) created a leading psychedelic therapy platform, combining complementary pipelines and expertise [3]. The company has advanced BPL-003 from early clinical stages to Phase 3 readiness for treatment-resistant depression, and the Eli Lilly acquisition at up to $3.8B validates the therapeutic platform [1]. However, no marketed product has been launched yet. AI Deployment (0/2): No evidence of AI-powered products or AI-driven drug discovery cost savings. Clinical-stage operations rely on traditional pharmaceutical R&amp;D processes. Market Share (1/2): AtaiBeckley is one of the leading companies in psychedelic-assisted therapy alongside COMPASS Pathways, with a differentiated pipeline spanning multiple mechanisms (toad-derived 5-MeO-DMT, synthetic DMT, R-MDMA, non-hallucinogenic 5-HT2A agonists) [3]. The Eli Lilly acquisition validates competitive positioning in this emerging therapeutic category. Product Pipeline (2/2): BPL-003 Phase 3 ready for TRD with specific clinical program defined; VLS-01 Phase 2 topline data expected H2 2026; EMP-01 Phase 2a for social anxiety disorder; GRX-917 for anxiety/depression; EGX-A/B non-hallucinogenic compounds in preclinical [3]. Multiple named candidates with clear timelines. R&amp;D Intensity (1/1): R&amp;D spending of $28.1M in Q2 2026 alone against $1.7M in revenue demonstrates extremely high R&amp;D intensity, consistent with a clinical-stage biotech investing in its pipeline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AtaiBeckley's mission — developing rapid-acting and durable therapies for treatment-resistant mental health conditions — addresses a genuine crisis with specific, differentiated intent [3]. Mental health treatment resistance affects millions globally, and psychedelic therapy represents a paradigm shift from conventional antidepressants. Co-founder Christian Angermayer has been a consistent, vocal advocate for psychedelic medicine, and the company's pursuit of this therapeutic category when it was deeply stigmatized reflects purposeful conviction. Community Impact (0/2): No evidence of charitable programs, community investment, or patient access initiatives beyond standard clinical trial enrollment. Employee Retention (0/2): No retention data available for a 99-person clinical-stage company. Insider Buying (0/2): Net insider selling — Director Hershberg exercised options and sold $496K, COO Kochendoerfer sold $250K, CMO Craig sold shares across multiple transactions, and founder Angermayer exercised large option blocks [5]. No evidence of open-market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Liquidity check passes: daily dollar volume of approximately $110M ($7.35 x 15.0M shares) [5]. D/E of 2.4% scores 1.0 (1x weight) — minimal debt with $4.3M total debt against $226M cash and short-term securities, providing runway into 2029 [1]. ROE of -417.2% scores 0.0 (2x weight) — deeply unprofitable as expected for a clinical-stage biotech with no marketed products. Revenue growth YoY of 137% scores 1.0 (1x weight), though revenue is only $4.5M TTM from licensing/R&amp;D services, not product sales [1]. 5-year revenue CAGR unavailable (revenue pre-2025 was sub-$500K annually from R&amp;D services; no meaningful trend), excluded. Forward P/E of -15.3 excluded (meaningless for pre-revenue biotech). Profit margin approximately 0% scores 0.0 (1x weight). Forward PEG unavailable, excluded. Weighted sum 2.0 / max 5.0 = 4.0, rounded to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AtaiBeckley shows genuine purpose in its founding mission — transforming mental health treatment through psychedelic medicine when the field was stigmatized and unproven. Co-founder Christian Angermayer's advocacy and the company's persistence through clinical development reflect commitment beyond quarterly thinking [3]. However, the company is only eight years old, pre-revenue, and now being acquired by Eli Lilly, which truncates any long-term infinite game trajectory. The Beckley Psytech combination showed strategic flexibility, but the Lilly acquisition means the company's infinite game potential will now depend on a large pharma parent's priorities. Sinek would credit the founding courage but note that the ultimate test — maintaining purpose through decades of execution — will not be taken independently.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AtaiBeckley's founding purpose — making psychedelic-assisted therapy available to patients suffering from treatment-resistant mental health conditions — qualifies as a genuine Just Cause in Sinek's framework [3]. It envisions a future where depression, PTSD, and anxiety are treatable even when conventional approaches fail. The company was founded in 2018 when psychedelic therapy was deeply stigmatized, and pursuing this field required real conviction. Multiple strategic decisions (Beckley combination, broad pipeline across mechanisms) trace back to this purpose. However, the company hasn't yet proven this purpose through the multi-decade execution and crisis-survival that would earn a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psychological safety, or employee dynamics for a 99-person clinical-stage company [5]. The recent merger (November 2025) and pending acquisition (Eli Lilly, Q3 2026) create inherent organizational uncertainty. No Glassdoor data, retention metrics, or employee sentiment evidence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AtaiBeckley positions itself as a leader in psychedelic therapy with a differentiated multi-mechanism pipeline, but public communications focus on competitive advantages over COMPASS Pathways and other peers rather than learning from their strengths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combination with Beckley Psytech (November 2025) represented meaningful strategic evolution — combining two complementary companies to create a stronger platform for advancing psychedelic therapies [3]. The company's portfolio approach (multiple mechanisms: 5-MeO-DMT, DMT, R-MDMA, non-hallucinogenic agonists) shows flexibility in pursuing the mission through different scientific pathways. However, the pending Lilly acquisition means the company chose to be absorbed rather than play independently, which Sinek might view as pragmatic but not a sign of infinite thinking.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Founding a psychedelic therapy company in 2018 when the field was stigmatized and regulatory pathways were uncertain required genuine courage [3]. Christian Angermayer and the founding team invested capital and reputation in an approach that most of traditional pharma considered fringe. Advancing multiple clinical programs simultaneously while pre-revenue demonstrates willingness to make long-term bets. However, accepting the Lilly acquisition rather than pursuing independent commercialization suggests a limit to leadership's appetite for sustained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AtaiBeckley at $7.35 is effectively a merger arbitrage position with the pending Eli Lilly acquisition at $6.75/share cash plus up to $2.50/share in contingent value rights tied to BPL-003 and VLS-01 clinical milestones [1]. The stock trades above the cash component, reflecting market expectation of CVR value. The pipeline validation is significant — Lilly's willingness to pay up to $3.8B for a pre-revenue psychedelic therapy company validates the BPL-003 Phase 3 program for treatment-resistant depression, a massive unmet-need market estimated at $10B+ globally. The company has $169M cash providing runway into 2029 if the deal fails, and multiple clinical readouts (VLS-01 Phase 2 topline data H2 2026) provide near-term catalysts [3].</w:t>
      </w:r>
    </w:p>
    <w:p>
      <w:pPr>
        <w:spacing w:after="120"/>
      </w:pPr>
      <w:r>
        <w:rPr>
          <w:rFonts w:ascii="Calibri" w:hAnsi="Calibri"/>
          <w:b w:val="0"/>
          <w:color w:val="3A4A28"/>
          <w:sz w:val="20"/>
        </w:rPr>
        <w:t>The primary risk is deal completion uncertainty — the Ademi LLP shareholder investigation into deal fairness, while typical for plaintiff-side law firms, adds governance noise [4]. If the Lilly deal fails, AtaiBeckley would need to fund BPL-003 Phase 3 trials independently with $169M cash, likely requiring additional financing. The company is deeply unprofitable with -$127M operating cash flow and a $660M GAAP net loss in 2025 (driven by non-cash items from the Beckley combination) [1][5]. Clinical-stage biotech risk is inherent — BPL-003 Phase 3 could fail, and the psychedelic therapy regulatory pathway remains novel with limited precedent. The 99-person company being absorbed into Eli Lilly means the original team's ability to execute their vision depends on a large pharma parent's priorities and bureaucracy.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Eli Lilly acquisition closing expected Q3 2026 at $6.75/share cash plus up to $2.50/share CVRs tied to BPL-003 and VLS-01 milestones — total deal value up to $3.8B [1]</w:t>
      </w:r>
    </w:p>
    <w:p>
      <w:pPr>
        <w:spacing w:before="40" w:after="40"/>
        <w:ind w:left="283"/>
      </w:pPr>
      <w:r>
        <w:rPr>
          <w:rFonts w:ascii="Calibri" w:hAnsi="Calibri"/>
          <w:b/>
          <w:color w:val="4A6B25"/>
          <w:sz w:val="20"/>
        </w:rPr>
        <w:t xml:space="preserve">2. </w:t>
      </w:r>
      <w:r>
        <w:rPr>
          <w:rFonts w:ascii="Calibri" w:hAnsi="Calibri"/>
          <w:b w:val="0"/>
          <w:color w:val="3A4A28"/>
          <w:sz w:val="20"/>
        </w:rPr>
        <w:t>VLS-01 (DMT buccal film) Phase 2 topline data expected H2 2026 for treatment-resistant depression, which could unlock CVR value if positive [3]</w:t>
      </w:r>
    </w:p>
    <w:p>
      <w:pPr>
        <w:spacing w:before="40" w:after="40"/>
        <w:ind w:left="283"/>
      </w:pPr>
      <w:r>
        <w:rPr>
          <w:rFonts w:ascii="Calibri" w:hAnsi="Calibri"/>
          <w:b/>
          <w:color w:val="4A6B25"/>
          <w:sz w:val="20"/>
        </w:rPr>
        <w:t xml:space="preserve">3. </w:t>
      </w:r>
      <w:r>
        <w:rPr>
          <w:rFonts w:ascii="Calibri" w:hAnsi="Calibri"/>
          <w:b w:val="0"/>
          <w:color w:val="3A4A28"/>
          <w:sz w:val="20"/>
        </w:rPr>
        <w:t>BPL-003 Phase 3 initiation for treatment-resistant depression would validate the lead asset in a $10B+ market with massive unmet clinical need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 completion risk — Ademi LLP shareholder investigation into deal fairness and standard regulatory approvals could delay or block the Eli Lilly acquisition [4]</w:t>
      </w:r>
    </w:p>
    <w:p>
      <w:pPr>
        <w:spacing w:before="40" w:after="40"/>
        <w:ind w:left="283"/>
      </w:pPr>
      <w:r>
        <w:rPr>
          <w:rFonts w:ascii="Calibri" w:hAnsi="Calibri"/>
          <w:b/>
          <w:color w:val="4A6B25"/>
          <w:sz w:val="20"/>
        </w:rPr>
        <w:t xml:space="preserve">2. </w:t>
      </w:r>
      <w:r>
        <w:rPr>
          <w:rFonts w:ascii="Calibri" w:hAnsi="Calibri"/>
          <w:b w:val="0"/>
          <w:color w:val="3A4A28"/>
          <w:sz w:val="20"/>
        </w:rPr>
        <w:t>Clinical-stage biotech risk — no marketed products, $660M GAAP net loss in 2025, and if the Lilly deal fails, the company would need to fund Phase 3 trials with $169M cash, likely requiring dilutive financing [1][5]</w:t>
      </w:r>
    </w:p>
    <w:p>
      <w:pPr>
        <w:spacing w:before="40" w:after="40"/>
        <w:ind w:left="283"/>
      </w:pPr>
      <w:r>
        <w:rPr>
          <w:rFonts w:ascii="Calibri" w:hAnsi="Calibri"/>
          <w:b/>
          <w:color w:val="4A6B25"/>
          <w:sz w:val="20"/>
        </w:rPr>
        <w:t xml:space="preserve">3. </w:t>
      </w:r>
      <w:r>
        <w:rPr>
          <w:rFonts w:ascii="Calibri" w:hAnsi="Calibri"/>
          <w:b w:val="0"/>
          <w:color w:val="3A4A28"/>
          <w:sz w:val="20"/>
        </w:rPr>
        <w:t>Psychedelic therapy faces regulatory novelty risk — FDA pathways for psilocybin and DMT-based treatments have limited precedent, and scheduling/regulatory changes could impact the entire therapeutic category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AtaiBeckley's core business — developing psychedelic and psychedelic-inspired therapies through FDA-regulated clinical trials — faces minimal AI substitution risk [3]. Drug development requires physical clinical trials with human subjects, FDA regulatory review, and complex manufacturing of novel chemical entities that AI cannot replace. Psychedelic-assisted therapy specifically requires trained therapists in controlled clinical settings, adding a physical-world component that AI cannot disrupt. However, AI is increasingly accelerating drug discovery and clinical trial design for competitors, which could narrow AtaiBeckley's first-mover advantage in the psychedelic therapy space. AI Opportunity (0/1): No AI-related revenue or AI-powered drug discovery tools. The company uses traditional pharmaceutical R&amp;D methods.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AtaiBeckley Q2 2026 Results — Revenue $1.7M (+137% YoY), Net Loss $32.5M, R&amp;D Spending $28.1M (+153%), Cash $168.8M — Quartr, StockAnalysis, August 2026</w:t>
      </w:r>
    </w:p>
    <w:p>
      <w:pPr>
        <w:spacing w:before="20" w:after="20"/>
        <w:ind w:left="170"/>
      </w:pPr>
      <w:r>
        <w:rPr>
          <w:rFonts w:ascii="Calibri" w:hAnsi="Calibri"/>
          <w:b/>
          <w:color w:val="4A6B25"/>
          <w:sz w:val="15"/>
        </w:rPr>
        <w:t xml:space="preserve">2. </w:t>
      </w:r>
      <w:r>
        <w:rPr>
          <w:rFonts w:ascii="Calibri" w:hAnsi="Calibri"/>
          <w:b w:val="0"/>
          <w:color w:val="3A4A28"/>
          <w:sz w:val="17"/>
        </w:rPr>
        <w:t>AtaiBeckley Full-Year 2025 — Revenue $4.1M, Net Loss $660M (Non-Cash Items From Beckley Combination), Eli Lilly Deal Announced — Yahoo Finance, SimplyWall.St, 2026</w:t>
      </w:r>
    </w:p>
    <w:p>
      <w:pPr>
        <w:spacing w:before="20" w:after="20"/>
        <w:ind w:left="170"/>
      </w:pPr>
      <w:r>
        <w:rPr>
          <w:rFonts w:ascii="Calibri" w:hAnsi="Calibri"/>
          <w:b/>
          <w:color w:val="4A6B25"/>
          <w:sz w:val="15"/>
        </w:rPr>
        <w:t xml:space="preserve">3. </w:t>
      </w:r>
      <w:r>
        <w:rPr>
          <w:rFonts w:ascii="Calibri" w:hAnsi="Calibri"/>
          <w:b w:val="0"/>
          <w:color w:val="3A4A28"/>
          <w:sz w:val="17"/>
        </w:rPr>
        <w:t>AtaiBeckley Pipeline and Leadership — CEO Srinivas Rao, atai-Beckley Combination (Nov 2025), BPL-003 Phase 3 Ready, VLS-01 Phase 2, Eli Lilly Acquisition Terms — finviz.com, TipRanks, SEC Filings, 2025-2026</w:t>
      </w:r>
    </w:p>
    <w:p>
      <w:pPr>
        <w:spacing w:before="20" w:after="20"/>
        <w:ind w:left="170"/>
      </w:pPr>
      <w:r>
        <w:rPr>
          <w:rFonts w:ascii="Calibri" w:hAnsi="Calibri"/>
          <w:b/>
          <w:color w:val="4A6B25"/>
          <w:sz w:val="15"/>
        </w:rPr>
        <w:t xml:space="preserve">4. </w:t>
      </w:r>
      <w:r>
        <w:rPr>
          <w:rFonts w:ascii="Calibri" w:hAnsi="Calibri"/>
          <w:b w:val="0"/>
          <w:color w:val="3A4A28"/>
          <w:sz w:val="17"/>
        </w:rPr>
        <w:t>AtaiBeckley Governance — Ademi LLP Shareholder Investigation Into Lilly Deal Fairness — chartmill.com, July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ATAI Key Statistics, Insider Transactions,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