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ATON</w:t>
      </w:r>
      <w:r>
        <w:rPr>
          <w:rFonts w:ascii="Calibri" w:hAnsi="Calibri"/>
          <w:b/>
          <w:color w:val="1A2010"/>
          <w:sz w:val="40"/>
        </w:rPr>
        <w:t xml:space="preserve">  Alpha Compute Corp.</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British Virgin Islands</w:t>
      </w:r>
    </w:p>
    <w:p>
      <w:pPr>
        <w:spacing w:after="80"/>
      </w:pPr>
      <w:r>
        <w:rPr>
          <w:rFonts w:ascii="Calibri" w:hAnsi="Calibri"/>
          <w:b w:val="0"/>
          <w:color w:val="3A4A28"/>
          <w:sz w:val="20"/>
        </w:rPr>
        <w:t>Alpha Compute Corp (formerly AlphaTON Capital Corp, ticker changed from ATON to ALP in April 2026) is a micro-cap technology company that has pivoted from biotech (Immuno-Oncology) to blockchain/Telegram ecosystem to AI GPU-as-a-Service. The company claims to deploy GPUs in data centers for AI workloads and operate 'Cocoon AI,' a decentralized AI for Telegram users. FY2026 (ended March 2026) revenue was $97K with a net loss of $38.6M. CEO Brittany Kaiser leads from British Virgin Islands with 2 full-time employees. Market cap is approximately $5M.</w:t>
      </w:r>
    </w:p>
    <w:p>
      <w:r>
        <w:rPr>
          <w:rFonts w:ascii="Calibri" w:hAnsi="Calibri"/>
          <w:b/>
          <w:color w:val="6E8450"/>
          <w:sz w:val="18"/>
        </w:rPr>
        <w:t>2 Employees · https://alphacompute.ai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Alpha Compute has undergone serial pivots — from biotech (Immuno-Oncology) to TON blockchain/Telegram ecosystem to AI GPU-as-a-Service — with no successful product launch or meaningful revenue from any iteration [1]. FY2026 revenue was $97K, down from $0 in prior years, and the company's $5M market cap and 2 employees indicate a shell company without operational substance. AI Deployment (0/2): The company claims to offer GPU-as-a-Service and Cocoon AI for Telegram users, but $97K in total revenue and 2 employees provide no evidence of actual AI product deployment at any scale [1][3]. Market Share (0/2): No measurable market share in AI infrastructure, GPU services, or any segment. The company competes against hyperscalers (AWS, Azure, GCP) and established GPU-as-a-Service providers (CoreWeave, Lambda) with effectively zero market presence. Product Pipeline (1/2): CTO Logan Ryan Golema was hired in November 2025 to lead TON ecosystem and Cocoon AI development, and the company has articulated a GPU-as-a-Service and confidential computing strategy [3]. However, with 2 employees and near-zero revenue, the pipeline exists only as press releases. R&amp;D Intensity (0/1): No evidence of meaningful R&amp;D spending or capability with 2 full-time employees.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Brittany Kaiser states the company believes 'AI should be privacy-centric,' which is a generic principle rather than a distinctive mission [3]. The company's frequent pivots (biotech to blockchain to AI) undermine any sense of enduring purpose, and the public materials read as promotional rather than mission-driven. The privacy-centric AI framing is interchangeable with dozens of other small-cap tech companies. Community Impact (0/2): No evidence of charitable programs or community investment. Employee Retention (0/2): Not applicable — the company has 2 full-time employees, insufficient for any meaningful retention analysis [5]. Insider Buying (0/2): No insider transaction data available from yfinance. Given the company's BVI incorporation and micro-cap status, insider activity transparency is limited.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158,789 shares x $3.40 stock price = $539,883 daily dollar volume, below the $1,000,000 minimum threshold [5]. Infrastructure score is automatically set to 0. Even without the liquidity floor, fundamentals are extremely poor: ROE of -1,356%, profit margin near 0% on $97K revenue, $38.6M net loss in FY2026, $507K cash against $138K debt with only 2 employees [1][5]. The company has a $5M market cap and is essentially a shell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Alpha Compute scores at the bottom of the Infinite Game framework. The company's serial pivots — from biotech to blockchain to AI GPU services — epitomize finite thinking: chasing the hottest trend rather than building enduringly around a core purpose [3]. With 2 employees, $97K revenue, and a BVI incorporation, there is no organizational depth to evaluate on trust, culture, or leadership courage. Sinek would identify this as a company that exists to capitalize on market narratives rather than to advance a Just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The company's purpose changes with market trends — from biotech to blockchain to AI — with no enduring vision connecting these pivots [3]. CEO Kaiser's 'privacy-centric AI' framing is marketing, not a cause. A company that pivots its entire business model every 12-18 months based on market enthusiasm has no Just Cause by Sinek's definition.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Not evaluable. The company has 2 full-time employees [5]. There is no meaningful organization, culture, or trust dynamics to assess. Leadership continuity is limited by the company's frequent strategic reinventions.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or self-improvement mindset. The company positions itself in markets (GPU-as-a-Service, decentralized AI) where it has no meaningful competitive presence to generate rival dynamics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demonstrated willingness to completely reinvent itself — pivoting from biotech (Immuno-Oncology) to blockchain/Telegram ecosystem to AI GPU-as-a-Service [3]. The rebranding from AlphaTON Capital to Alpha Compute Corp and ticker change from ATON to ALP reflects this. However, Sinek distinguishes between existential flexibility in service of a Just Cause (Apple abandoning the Mac for the iPhone) and desperate strategic thrashing. These pivots appear driven by market trends rather than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Serial pivots to chase market trends (blockchain when crypto was hot, AI when GPU compute became fashionable) suggest opportunism rather than the willingness to make costly long-term bets that Sinek defines as courageous [3]. With $97K revenue after multiple years of operation and rebranding, leadership has not demonstrated the execution capability that validates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Alpha Compute Corp (formerly AlphaTON Capital, ticker ATON now ALP) at $3.40 with a $5M market cap is a micro-cap shell company with no investable thesis for IOWN. The company generated $97K in total revenue in FY2026 (ended March 2026) against a $38.6M net loss, has 2 full-time employees, and is incorporated in the British Virgin Islands [1]. The stated pivot to AI GPU-as-a-Service and confidential computing under CEO Brittany Kaiser has produced no meaningful revenue or customer traction despite multiple press releases and executive hires [3]. The 86% stock price decline from its 52-week high reflects market recognition that the company's promotional activity far exceeds its operational substance.</w:t>
      </w:r>
    </w:p>
    <w:p>
      <w:pPr>
        <w:spacing w:after="120"/>
      </w:pPr>
      <w:r>
        <w:rPr>
          <w:rFonts w:ascii="Calibri" w:hAnsi="Calibri"/>
          <w:b w:val="0"/>
          <w:color w:val="3A4A28"/>
          <w:sz w:val="20"/>
        </w:rPr>
        <w:t>The company fails the IOWN liquidity floor with daily dollar volume of approximately $540K, making it uninvestable regardless of any strategic merit. The serial pivots from biotech to blockchain to AI, BVI incorporation, near-zero revenue, and $5M market cap are consistent with a shell company pattern rather than a legitimate operating business [1][3]. The $507K cash position against $38.6M annual cash burn rate implies the company will need to raise capital imminently, likely through highly dilutive equity issuances. Investor skepticism is warranted — there is no evidence of product-market fit, competitive advantage, or organizational capability to execute on any of the company's stated ambitions.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deployment and revenue generation from GPU-as-a-Service infrastructure could validate the pivot, though no evidence of customer traction exists [3]</w:t>
      </w:r>
    </w:p>
    <w:p>
      <w:pPr>
        <w:spacing w:before="40" w:after="40"/>
        <w:ind w:left="283"/>
      </w:pPr>
      <w:r>
        <w:rPr>
          <w:rFonts w:ascii="Calibri" w:hAnsi="Calibri"/>
          <w:b/>
          <w:color w:val="4A6B25"/>
          <w:sz w:val="20"/>
        </w:rPr>
        <w:t xml:space="preserve">2. </w:t>
      </w:r>
      <w:r>
        <w:rPr>
          <w:rFonts w:ascii="Calibri" w:hAnsi="Calibri"/>
          <w:b w:val="0"/>
          <w:color w:val="3A4A28"/>
          <w:sz w:val="20"/>
        </w:rPr>
        <w:t>Cocoon AI product for Telegram ecosystem could generate revenue if the TON ecosystem grows, though the product appears to be pre-launch with no usage data [3]</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partnerships or acquisition by a larger entity could provide liquidity event, though the $5M market cap limits appeal to acquirers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Daily dollar volume of approximately $540K is below the $1M minimum, making the stock uninvestable for IOWN and creating severe execution risk for any position [5]</w:t>
      </w:r>
    </w:p>
    <w:p>
      <w:pPr>
        <w:spacing w:before="40" w:after="40"/>
        <w:ind w:left="283"/>
      </w:pPr>
      <w:r>
        <w:rPr>
          <w:rFonts w:ascii="Calibri" w:hAnsi="Calibri"/>
          <w:b/>
          <w:color w:val="4A6B25"/>
          <w:sz w:val="20"/>
        </w:rPr>
        <w:t xml:space="preserve">2. </w:t>
      </w:r>
      <w:r>
        <w:rPr>
          <w:rFonts w:ascii="Calibri" w:hAnsi="Calibri"/>
          <w:b w:val="0"/>
          <w:color w:val="3A4A28"/>
          <w:sz w:val="20"/>
        </w:rPr>
        <w:t>Shell company risk: 2 employees, $97K revenue, BVI incorporation, serial pivots, and $38.6M annual losses against $507K cash indicate a company with no real operations or path to sustainability [1][5]</w:t>
      </w:r>
    </w:p>
    <w:p>
      <w:pPr>
        <w:spacing w:before="40" w:after="40"/>
        <w:ind w:left="283"/>
      </w:pPr>
      <w:r>
        <w:rPr>
          <w:rFonts w:ascii="Calibri" w:hAnsi="Calibri"/>
          <w:b/>
          <w:color w:val="4A6B25"/>
          <w:sz w:val="20"/>
        </w:rPr>
        <w:t xml:space="preserve">3. </w:t>
      </w:r>
      <w:r>
        <w:rPr>
          <w:rFonts w:ascii="Calibri" w:hAnsi="Calibri"/>
          <w:b w:val="0"/>
          <w:color w:val="3A4A28"/>
          <w:sz w:val="20"/>
        </w:rPr>
        <w:t>Immediate dilution risk: $507K cash against $38.6M annual burn rate requires near-term capital raises that will dilute existing shareholders, with the micro-cap status limiting financing options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Alpha Compute's stated business model — GPU-as-a-Service and AI confidential computing — positions it as an AI enabler rather than an AI disruption target [3]. If the business existed at scale, GPU infrastructure would be structurally protected from AI disruption since AI requires the compute resources the company claims to provide. However, with $97K revenue, 2 employees, and a $5M market cap, there is no real AI business to protect or disrupt [1]. The score reflects the theoretical model rather than operational reality. Competitors (CoreWeave, Lambda, hyperscalers) could commoditize GPU-as-a-Service pricing, and the company has no competitive moat. AI Opportunity (0/1): Despite positioning as an AI infrastructure company, $97K in total revenue indicates no meaningful AI-related revenue generation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Alpha Compute Corp FY2026 Financials (ended March 2026) — Revenue $97K, Net Loss $38.6M, $0 Revenue in Prior Years — Yahoo Finance, StockTaper, 2026</w:t>
      </w:r>
    </w:p>
    <w:p>
      <w:pPr>
        <w:spacing w:before="20" w:after="20"/>
        <w:ind w:left="170"/>
      </w:pPr>
      <w:r>
        <w:rPr>
          <w:rFonts w:ascii="Calibri" w:hAnsi="Calibri"/>
          <w:b/>
          <w:color w:val="4A6B25"/>
          <w:sz w:val="15"/>
        </w:rPr>
        <w:t xml:space="preserve">2. </w:t>
      </w:r>
      <w:r>
        <w:rPr>
          <w:rFonts w:ascii="Calibri" w:hAnsi="Calibri"/>
          <w:b w:val="0"/>
          <w:color w:val="3A4A28"/>
          <w:sz w:val="17"/>
        </w:rPr>
        <w:t>Alpha Compute Corp Stock Price and Trading Data — $3.40, Market Cap $5M, Average Volume 158K, 86% Below 52-Week High — Yahoo Finance, TradingView, October 2026</w:t>
      </w:r>
    </w:p>
    <w:p>
      <w:pPr>
        <w:spacing w:before="20" w:after="20"/>
        <w:ind w:left="170"/>
      </w:pPr>
      <w:r>
        <w:rPr>
          <w:rFonts w:ascii="Calibri" w:hAnsi="Calibri"/>
          <w:b/>
          <w:color w:val="4A6B25"/>
          <w:sz w:val="15"/>
        </w:rPr>
        <w:t xml:space="preserve">3. </w:t>
      </w:r>
      <w:r>
        <w:rPr>
          <w:rFonts w:ascii="Calibri" w:hAnsi="Calibri"/>
          <w:b w:val="0"/>
          <w:color w:val="3A4A28"/>
          <w:sz w:val="17"/>
        </w:rPr>
        <w:t>Alpha Compute Corp Strategy and Leadership — CEO Brittany Kaiser, CTO Logan Golema (Nov 2025), GPU-as-a-Service Pivot, Cocoon AI, Ticker Change ATON to ALP (April 2026) — GlobeNewsWire, NASDAQ, BriefGlance, 2025-2026</w:t>
      </w:r>
    </w:p>
    <w:p>
      <w:pPr>
        <w:spacing w:before="20" w:after="20"/>
        <w:ind w:left="170"/>
      </w:pPr>
      <w:r>
        <w:rPr>
          <w:rFonts w:ascii="Calibri" w:hAnsi="Calibri"/>
          <w:b/>
          <w:color w:val="4A6B25"/>
          <w:sz w:val="15"/>
        </w:rPr>
        <w:t xml:space="preserve">4. </w:t>
      </w:r>
      <w:r>
        <w:rPr>
          <w:rFonts w:ascii="Calibri" w:hAnsi="Calibri"/>
          <w:b w:val="0"/>
          <w:color w:val="3A4A28"/>
          <w:sz w:val="17"/>
        </w:rPr>
        <w:t>Alpha Compute Corp Governance — BVI Incorporated, Anduril Investment Program Clarification, Promotional Activity Concerns — GlobeNewsWire, Yellow.com, Barchart,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ALP (formerly ATON)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