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ATO</w:t>
      </w:r>
      <w:r>
        <w:rPr>
          <w:rFonts w:ascii="Calibri" w:hAnsi="Calibri"/>
          <w:b/>
          <w:color w:val="1A2010"/>
          <w:sz w:val="40"/>
        </w:rPr>
        <w:t xml:space="preserve">  Atmos Energy Corporation</w:t>
      </w:r>
    </w:p>
    <w:p>
      <w:pPr>
        <w:spacing w:after="120"/>
      </w:pPr>
      <w:r>
        <w:rPr>
          <w:rFonts w:ascii="Calibri" w:hAnsi="Calibri"/>
          <w:b/>
          <w:color w:val="6E8450"/>
          <w:sz w:val="18"/>
        </w:rPr>
        <w:t>DIVIDEND SLEEVE · 2026-08-27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Gas · NYSE · United States</w:t>
      </w:r>
    </w:p>
    <w:p>
      <w:pPr>
        <w:spacing w:after="80"/>
      </w:pPr>
      <w:r>
        <w:rPr>
          <w:rFonts w:ascii="Calibri" w:hAnsi="Calibri"/>
          <w:b w:val="0"/>
          <w:color w:val="3A4A28"/>
          <w:sz w:val="20"/>
        </w:rPr>
        <w:t>Atmos Energy Corporation is the largest publicly traded, fully regulated, pure-play natural gas distribution company in the United States, serving over 3.3 million customers across eight states including Texas, Colorado, Kansas, Kentucky, Louisiana, Mississippi, Tennessee, and Virginia. Q3 FY2026 (ending June 2026) delivered EPS of $1.43 (+23.3% YoY) with year-to-date net income of $1.2B ($7.33/diluted share, +14.5%). FY2026 EPS guidance reaffirmed at $8.40-$8.50, supported by approximately $4.2B in annual capex with 85%+ focused on safety and reliability system modernization. The company maintains 60% equity capitalization and $4.6B in available liquidity.</w:t>
      </w:r>
    </w:p>
    <w:p>
      <w:r>
        <w:rPr>
          <w:rFonts w:ascii="Calibri" w:hAnsi="Calibri"/>
          <w:b/>
          <w:color w:val="6E8450"/>
          <w:sz w:val="18"/>
        </w:rPr>
        <w:t>5,300 Employees · https://www.atmosenergy.com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Atmos Energy has delivered steady regulated growth — Q3 FY2026 EPS of $1.43 grew 23.3% YoY and year-to-date diluted EPS of $7.33 grew 14.5% [1]. FY2026 EPS guidance reaffirmed at $8.40-$8.50. However, as a regulated gas utility, innovation is defined by infrastructure modernization (pipe replacement, system safety) rather than product launches or market pivots, with 900+ miles of distribution and transmission pipe replaced annually. AI Deployment (0/2): No evidence of AI deployment in customer-facing products or operations; Atmos has not publicly articulated an AI strategy beyond standard cybersecurity risk management [2]. Market Share (1/2): Atmos is the largest pure-play regulated gas distributor in the US by customer count (3.3M+), holding a meaningful position within the regulated utility space, though it operates as a regulated monopoly in its service territories [1]. Product Pipeline (1/2): The $4.2B annual capital spending plan with 85%+ directed to safety and reliability, and management's exploration of large load projects including data centers and power generation, represent forward-looking infrastructure investment [1]. R&amp;D Intensity (0/1): As a regulated utility, R&amp;D spending is minimal and not applicable to the traditional framework.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Atmos Energy's vision to be 'the safest provider of natural gas services' is clear and connects to public safety outcomes [2]. The AtmoSpirit principles guide corporate culture and decision-making. Three strong CEOs — Charles Vaughan, Robert Best, and Kim Cocklin — mindfully built a culture that differentiates Atmos from peers, though this is a functional safety mission rather than a transformative vision. Community Impact (2/2): Atmos serves 3.3M+ customers across eight states, employs 5,300 workers, and deployed $4.2B in annual capex primarily in safety infrastructure that directly protects communities [1]. The company was recognized on Forbes' Americas Best Employers list for five consecutive years, and system modernization has reduced methane emissions for EPA-reported distribution mains and services by approximately 20% since 2017 [3]. Employee Retention (1/2): CEO Kevin Akers rose through the ranks from SVP Safety to CEO in 2019, reflecting a develop-from-within culture [2]. AtmoSpirit principles emphasize employee respect and accountability, and Forbes Best Employers recognition five years running signals strong culture, though specific tenure or turnover metrics are limited. Insider Buying (1/2): Management maintains equity exposure through compensation plans, and the 15% dividend increase to $4.00/share plus raised FY2026 guidance signal leadership conviction in long-term value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strong results across most metrics. D/E of 67% is just below the 70% target (score 1.0, 1x) with conservative 60% equity capitalization and $4.6B available liquidity [3]. ROE of 9.24% is below the 15% target (score 0.62, 1x), reflecting the equity-heavy regulated utility model that prioritizes balance sheet strength over leverage-amplified returns. Revenue growth YoY of approximately 8% approaches the 10% target (score 0.93, 1x), driven by rate base expansion [1]. 5yr revenue CAGR of 7.1% is near the 10% target (score 0.81, 1x). Forward P/E of 21.36 is slightly above the 20 target (score 0.97, 1x). Profit margin of 25.67% exceeds the 20% target (score 1.0, 1x). Dividend metrics are outstanding: payout ratio 46% (score 0.90, 1x), 40 consecutive years paid (score 1.0, 2x weight), 40 consecutive years growth (score 1.0, 1x), 5yr dividend growth CAGR of 9.28% well above 6% target (score 1.0, 2x weight) [4]. Weighted sum: 11.23 / max 12.0 = 0.94 x 10 = 9. Liquidity passes easily: 1.14M avg vol x $180 = $205M daily dollar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Atmos Energy plays a naturally infinite game as a regulated utility — the business model is designed for multi-decade infrastructure investment with 40 consecutive years of dividend increases as proof of endurance [4]. CEO Akers's internal promotion and the AtmoSpirit cultural framework built by three successive CEOs reflect organizational continuity spanning decades. The regulated utility model naturally aligns with infinite game principles through long-horizon capital deployment, though it also limits the opportunity for transformative strategic pivots.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Atmos Energy's vision to be 'the safest provider of natural gas services' is genuine and connected to community safety outcomes — approximately $4.2B in annual capex is 85%+ focused on safety and reliability [1]. The AtmoSpirit culture built by three successive CEOs across decades guides organizational behavior beyond profit. However, 'being the safest' is a measurable goal that can be achieved, not an infinite cause describing a future state that doesn't yet exist, and Sinek would note this distinction.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Kevin Akers's rise from SVP Safety to CEO reflects a culture that develops and trusts internal talent [2]. The AtmoSpirit principles emphasize employee respect, and Atmos was recognized on Forbes' Americas Best Employers list five consecutive years. Three successive CEOs (Vaughan, Best, Cocklin) mindfully built a differentiated culture with 5,300 employees maintaining cultural coherence [2]. However, specific evidence of exceptional employee empowerment or below-average turnover is limited in public disclosures.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 a regulated monopoly, Atmos has no direct competitors in its service territories. However, the company implicitly treats electrification and renewable energy as worthy rivals that push natural gas distribution to improve safety, reliability, and environmental performance [3]. The comprehensive pipe replacement program and 20% methane emissions reduction since 2017 reflect a company learning from the competitive pressure of clean energy alternatives rather than ignoring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Atmos has evolved from a diversified gas company (with non-regulated segments) to a pure-play regulated distributor — the divestiture of non-utility operations represented a meaningful strategic focus decision [2]. The current exploration of data center and power generation load opportunities shows adaptability within the regulated framework [1]. However, the regulated model inherently limits transformative business model change, and the company has not faced a test requiring strategic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Atmos demonstrates a pattern of courageous long-term investment — the company consistently invests approximately $4.2B annually in infrastructure modernization, committing massive capital to replace aging pipes that generate no immediate revenue growth but protect communities and ensure long-term system reliability [1]. Management maintains conservative 60% equity capitalization with $4.6B available liquidity rather than leveraging up for near-term earnings accretion. The 15% dividend increase to $4.00/share alongside raised EPS guidance to $8.40-$8.50 demonstrates willingness to increase shareholder commitments backed by operational delivery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Atmos Energy is the gold standard regulated gas utility — the largest pure-play, fully regulated natural gas distributor in the US, delivering Q3 FY2026 EPS of $1.43 (+23.3% YoY) with year-to-date net income of $1.2B ($7.33/diluted share, +14.5%) [1]. FY2026 EPS guidance was reaffirmed at $8.40-$8.50, supported by approximately $4.2B in annual capex driving regulated rate base expansion with 85%+ directed to safety and reliability. With 40 consecutive years of dividend growth, a 9.28% 5-year dividend growth CAGR, and a 46% payout ratio providing room for continued compounding, Atmos is an exceptional income compounder [4]. The emerging AI data center opportunity creates incremental demand for natural gas distribution, and the balance sheet maintains conservative 60% equity capitalization with $4.6B available liquidity [1].</w:t>
      </w:r>
    </w:p>
    <w:p>
      <w:pPr>
        <w:spacing w:after="120"/>
      </w:pPr>
      <w:r>
        <w:rPr>
          <w:rFonts w:ascii="Calibri" w:hAnsi="Calibri"/>
          <w:b w:val="0"/>
          <w:color w:val="3A4A28"/>
          <w:sz w:val="20"/>
        </w:rPr>
        <w:t>The bear case focuses on valuation and energy transition risk. At 21.36x forward P/E, Atmos trades at a meaningful premium to the 17-18x utility peer average, leaving limited margin of safety if earnings growth disappoints or interest rates remain elevated [3]. ROE of 9.24% reflects the regulated utility model's inherent return limitations, and the $9.6B debt base creates interest rate sensitivity in a capital-intensive business. The long-term energy transition risk is real — as electrification expands and renewable energy costs decline, natural gas distribution could face structural demand headwinds over 10-20 years [3]. Growth is entirely contingent on favorable regulatory outcomes — any shift in state utility commission posture toward lower authorized returns across the eight-state territory could compress the earnings growth trajectory that supports the premium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and power generation load growth — management is actively pursuing large load projects requiring natural gas service, creating AI-driven demand tailwinds for the regulated business in an era of surging electricity demand [1]</w:t>
      </w:r>
    </w:p>
    <w:p>
      <w:pPr>
        <w:spacing w:before="40" w:after="40"/>
        <w:ind w:left="283"/>
      </w:pPr>
      <w:r>
        <w:rPr>
          <w:rFonts w:ascii="Calibri" w:hAnsi="Calibri"/>
          <w:b/>
          <w:color w:val="4A6B25"/>
          <w:sz w:val="20"/>
        </w:rPr>
        <w:t xml:space="preserve">2. </w:t>
      </w:r>
      <w:r>
        <w:rPr>
          <w:rFonts w:ascii="Calibri" w:hAnsi="Calibri"/>
          <w:b w:val="0"/>
          <w:color w:val="3A4A28"/>
          <w:sz w:val="20"/>
        </w:rPr>
        <w:t>FY2026 EPS guidance of $8.40-$8.50 reaffirmed with approximately $4.2B annual capex plan driving sustained regulated rate base growth and 14%+ year-to-date earnings growth trajectory [1]</w:t>
      </w:r>
    </w:p>
    <w:p>
      <w:pPr>
        <w:spacing w:before="40" w:after="40"/>
        <w:ind w:left="283"/>
      </w:pPr>
      <w:r>
        <w:rPr>
          <w:rFonts w:ascii="Calibri" w:hAnsi="Calibri"/>
          <w:b/>
          <w:color w:val="4A6B25"/>
          <w:sz w:val="20"/>
        </w:rPr>
        <w:t xml:space="preserve">3. </w:t>
      </w:r>
      <w:r>
        <w:rPr>
          <w:rFonts w:ascii="Calibri" w:hAnsi="Calibri"/>
          <w:b w:val="0"/>
          <w:color w:val="3A4A28"/>
          <w:sz w:val="20"/>
        </w:rPr>
        <w:t>40-year dividend growth streak with 9.28% 5-year CAGR, supported by 46% payout ratio and $4.6B available liquidity, providing exceptional income compounding for dividend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 21.36x forward P/E vs. 17-18x utility peer average creates downside risk if earnings growth disappoints or interest rates remain elevated, compressing utility multiples [3]</w:t>
      </w:r>
    </w:p>
    <w:p>
      <w:pPr>
        <w:spacing w:before="40" w:after="40"/>
        <w:ind w:left="283"/>
      </w:pPr>
      <w:r>
        <w:rPr>
          <w:rFonts w:ascii="Calibri" w:hAnsi="Calibri"/>
          <w:b/>
          <w:color w:val="4A6B25"/>
          <w:sz w:val="20"/>
        </w:rPr>
        <w:t xml:space="preserve">2. </w:t>
      </w:r>
      <w:r>
        <w:rPr>
          <w:rFonts w:ascii="Calibri" w:hAnsi="Calibri"/>
          <w:b w:val="0"/>
          <w:color w:val="3A4A28"/>
          <w:sz w:val="20"/>
        </w:rPr>
        <w:t>Energy transition headwinds — long-term electrification and renewable energy expansion could structurally reduce natural gas demand over 10-20 years, threatening the regulated distribution business model [3]</w:t>
      </w:r>
    </w:p>
    <w:p>
      <w:pPr>
        <w:spacing w:before="40" w:after="40"/>
        <w:ind w:left="283"/>
      </w:pPr>
      <w:r>
        <w:rPr>
          <w:rFonts w:ascii="Calibri" w:hAnsi="Calibri"/>
          <w:b/>
          <w:color w:val="4A6B25"/>
          <w:sz w:val="20"/>
        </w:rPr>
        <w:t xml:space="preserve">3. </w:t>
      </w:r>
      <w:r>
        <w:rPr>
          <w:rFonts w:ascii="Calibri" w:hAnsi="Calibri"/>
          <w:b w:val="0"/>
          <w:color w:val="3A4A28"/>
          <w:sz w:val="20"/>
        </w:rPr>
        <w:t>Regulatory dependence — growth is entirely contingent on favorable rate case outcomes across eight states; any shift in regulatory posture toward lower authorized returns could compress earnings growth below the 4-6% long-term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Atmos Energy's business is structurally immune to AI disruption — natural gas distribution requires physical pipeline infrastructure, regulatory relationships with state public utility commissions, and right-of-way access that AI cannot replicate or substitute [2]. The business is a regulated monopoly where customers cannot switch providers, creating permanent demand insulation. AI proliferation actively increases demand for Atmos's services: AI data centers require enormous electricity, and natural gas power generation is a primary source; management is actively exploring large load projects including data centers and power generation facilities [1]. The regulated rate structure ensures cost recovery and authorized returns regardless of technological disruption. No analysts have flagged AI as a risk factor for regulated gas utilities. AI Opportunity (1/1): Atmos benefits directly from AI infrastructure buildout — data centers and power generation facilities require natural gas service, creating quantifiable AI-driven demand growth for its core regulated distribution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Atmos Energy Q3 FY2026 Earnings Release — EPS $1.43 (+23.3%), YTD Net Income $1.2B ($7.33/diluted share, +14.5%), FY2026 Guidance Reaffirmed $8.40-$8.50, CapEx ~$4.2B, 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Atmos Energy Corporate Governance, Leadership, AtmoSpirit Culture — CEO Kevin Akers, Forbes Best Employers (5 consecutive years), sustainability report,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GuruFocus — ATO Key Statistics: Forward P/E 21.36, ROE 9.24%, D/E 67%, Profit Margin 25.67%, Dividend Yield 2.23%,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Atmos Energy Dividend History — 40 Consecutive Years of Increases, 9.28% 5-Year CAGR, $4.00/share Annual Rate, 46% Payout Ratio, StockAnalysis/Seeking Alpha,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