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ATXG</w:t>
      </w:r>
      <w:r>
        <w:rPr>
          <w:rFonts w:ascii="Calibri" w:hAnsi="Calibri"/>
          <w:b/>
          <w:color w:val="1A2010"/>
          <w:sz w:val="40"/>
        </w:rPr>
        <w:t xml:space="preserve">  Addentax Group Corp.</w:t>
      </w:r>
    </w:p>
    <w:p>
      <w:pPr>
        <w:spacing w:after="120"/>
      </w:pPr>
      <w:r>
        <w:rPr>
          <w:rFonts w:ascii="Calibri" w:hAnsi="Calibri"/>
          <w:b/>
          <w:color w:val="6E8450"/>
          <w:sz w:val="18"/>
        </w:rPr>
        <w:t>GROWTH SLEEVE · 2026-09-15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NASDAQ · China</w:t>
      </w:r>
    </w:p>
    <w:p>
      <w:pPr>
        <w:spacing w:after="80"/>
      </w:pPr>
      <w:r>
        <w:rPr>
          <w:rFonts w:ascii="Calibri" w:hAnsi="Calibri"/>
          <w:b w:val="0"/>
          <w:color w:val="3A4A28"/>
          <w:sz w:val="20"/>
        </w:rPr>
        <w:t>Addentax Group is a Shenzhen-based micro-cap conglomerate operating across logistics services, garment manufacturing, consulting, digital publishing (mobile fiction platform), and proposed AI and crypto-enabled asset management. The company has 61 full-time employees and a market cap of approximately $4.5M. TTM revenue is $5.4M with a -21% net profit margin. Under CEO Hong Zhida, Addentax has pursued diversification into AI-focused sectors including AI language models and a proposed acquisition of a Hong Kong-based AI-crypto asset management platform announced in February 2026.</w:t>
      </w:r>
    </w:p>
    <w:p>
      <w:r>
        <w:rPr>
          <w:rFonts w:ascii="Calibri" w:hAnsi="Calibri"/>
          <w:b/>
          <w:color w:val="6E8450"/>
          <w:sz w:val="18"/>
        </w:rPr>
        <w:t>61 Employees · https://www.addentax.com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Addentax has expanded from its core logistics business into consulting, garment manufacturing, digital publishing, and proposed AI/crypto ventures, demonstrating a willingness to pivot business models [1][2]. Q2 2026 revenue grew 316% YoY to $3.4M, driven by new consulting services and acquisition of a financing business. However, these diversifications have not produced sustained profitability or coherent strategic transformation — they represent scatter-shot pivots across unrelated industries rather than disciplined innovation. AI Deployment (0/2): The company announced an AI Internet Operational Tools project with games-as-a-service firms in 2023 and a proposed acquisition of an AI-empowered crypto asset management platform in February 2026, but no AI products have shipped, no AI-driven revenue has been reported, and no quantified AI operational improvements exist [2]. Market Share (0/2): Addentax holds no meaningful market share in any segment. With $5.4M in TTM revenue and 61 employees, the company is a negligible participant in the fragmented logistics, garment, and consulting markets of mainland China and Hong Kong. Product Pipeline (0/2): The proposed Riches Group acquisition (AI-crypto asset management) is unconfirmed and speculative. No specific next-gen products with defined timelines and revenue visibility have been identified [2]. R&amp;D Intensity (0/1): No evidence of meaningful R&amp;D expenditure relative to revenue or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was found on Addentax's website or public materials beyond CEO Hong Zhida's business expansion objectives. The company's publicly stated goals center on diversification into AI-focused sectors and expanding R&amp;D capabilities — these are business strategies, not a purpose statement articulating why the company exists or what better future it seeks to create [2]. Community Impact (0/2): No evidence of charitable programs, community investment, foundation activity, or social impact initiatives was identified for this 61-person micro-cap company. Employee Retention (0/2): With only 61 full-time employees, no Glassdoor reviews, and no publicly available retention or culture data, employee sentiment cannot be assessed. Insider Buying (0/2): No evidence of insider buying or selling activity was identified in public filings or financial databases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(15,164) x stock_price ($3.80) = $57,623 daily traded value, far below the $1,000,000 liquidity floor [4]. Infrastructure score is automatically set to 0 regardless of other metrics. For reference, underlying metrics are also severely impaired: profit margin of -21.0% is negative (below 0% floor), ROE of -9.6% is negative (below 0% floor), and forward P/E and PEG ratio are unavailable due to negative earnings. D/E of 21.2% is the only metric near target. Market cap of $4.5M classifies this as a sub-micro-cap security unsuitable for institutional or individual investors requiring any meaningful position sizing. The stock trades fewer than 15,200 shares daily with a $3.80 price, making it effectively uninvestable for IOWN's purposes.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Addentax is a definitively finite game player through Sinek's lens. The company has no articulated Just Cause, no evidence of consistent purpose across leadership decisions, and a strategic approach characterized by opportunistic pivots across unrelated industries — logistics, garment manufacturing, consulting, digital fiction, AI, and crypto — rather than consistent pursuit of a durable vision. The 61-person organization is too small and fragmented to evaluate on organizational culture dimensions, and no evidence of courageous leadership decisions or infinite competitive mindset was identified.</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The company exists to pursue revenue growth through serial diversification into whatever sectors appear opportunistic — from logistics to garments to consulting to AI to crypto asset management [2]. CEO Hong Zhida's public statements focus on business expansion and market opportunities rather than a vision of a better future. The rapid pivots between unrelated industries over the past 3 years suggest a company chasing trends rather than advancing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61 full-time employees and no Glassdoor reviews, employee culture data, or organizational trust indicators available, this dimension cannot be meaningfully assessed [4]. The very small team size and frequent strategic pivots across unrelated industries suggest an unstable organizational environment, but specific evidence of low trust or high trust is absent.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operates across too many fragmented segments to have identified meaningful rivals in any category, and no management commentary acknowledges competitive dynamics as a learning opportunity.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Addentax has repeatedly pivoted its business model — from logistics to garment manufacturing to consulting to digital publishing to proposed AI/crypto ventures [1][2]. While these demonstrate willingness to abandon current approaches, the pivots are driven by opportunism and survival necessity rather than by a Just Cause. Sinek distinguishes between strategic flexibility in service of a cause and aimless pivoting without direction — Addentax's pattern aligns with the latter. The point is awarded because the company has at minimum evolved its business model, though not in the purposeful way Sinek envisions.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choosing long-term investment over short-term earnings, walking away from profitable businesses, or making principled stands that carried financial cost [2]. The company's serial pivots appear to chase near-term opportunities rather than invest in long-term capability building. With a $4.5M market cap and 61 employees, the scale of decision-making does not provide meaningful tests of leadership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Addentax at $3.80 per share with a $4.5M market cap offers speculative optionality on CEO Hong Zhida's diversification strategy into AI and crypto-enabled financial services. Q2 2026 revenue of $3.4M (+316% YoY) demonstrates the ability to grow from a very small base through consulting services and acquisition of a financing business [1]. The proposed acquisition of Riches Group's AI-empowered crypto asset management platform could theoretically generate HKD 300M in revenue if completed [2]. Low D/E of 21.2% suggests the balance sheet is not overleveraged relative to assets. The Inspire Impact Score of 35 (ALIGNED) is a positive differentiator for faith-based screening purposes.</w:t>
      </w:r>
    </w:p>
    <w:p>
      <w:pPr>
        <w:spacing w:after="120"/>
      </w:pPr>
      <w:r>
        <w:rPr>
          <w:rFonts w:ascii="Calibri" w:hAnsi="Calibri"/>
          <w:b w:val="0"/>
          <w:color w:val="3A4A28"/>
          <w:sz w:val="20"/>
        </w:rPr>
        <w:t>The bear case is overwhelming. Addentax is a sub-$5M market cap penny stock with 61 employees, $5.4M in TTM revenue, and a -21% profit margin — the company is essentially a micro-cap shell pursuing serial diversification across unrelated industries with no evidence of sustainable competitive advantage [3][4]. Daily trading volume of ~15,000 shares ($57K daily value) makes the stock effectively uninvestable — IOWN cannot build or exit a position without moving the market. The 316% revenue growth in Q2 was off a base of $800K, and Q3 showed a net loss of $4.7M on derivative losses. Forward P/E and PEG are unavailable because analysts do not cover the stock and earnings are negative. The proposed AI-crypto asset management acquisition is speculative and unconfirmed. The company is based in Shenzhen, China, with inherent regulatory and governance opacity risks for U.S.-listed Chinese micro-caps. There is no institutional ownership, no analyst coverage, and no evidence of operational substance beyond press releases about AI ambitions. This stock fails IOWN's liquidity floor and is unsuitable for the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completion and integration of the Riches Group AI-crypto asset management platform acquisition, which would diversify revenue into financial services with claimed HKD 300M revenue potential [2]</w:t>
      </w:r>
    </w:p>
    <w:p>
      <w:pPr>
        <w:spacing w:before="40" w:after="40"/>
        <w:ind w:left="283"/>
      </w:pPr>
      <w:r>
        <w:rPr>
          <w:rFonts w:ascii="Calibri" w:hAnsi="Calibri"/>
          <w:b/>
          <w:color w:val="4A6B25"/>
          <w:sz w:val="20"/>
        </w:rPr>
        <w:t xml:space="preserve">2. </w:t>
      </w:r>
      <w:r>
        <w:rPr>
          <w:rFonts w:ascii="Calibri" w:hAnsi="Calibri"/>
          <w:b w:val="0"/>
          <w:color w:val="3A4A28"/>
          <w:sz w:val="20"/>
        </w:rPr>
        <w:t>Scaling the consulting services segment that drove 316% YoY revenue growth in Q2 2026, potentially establishing a recurring revenue base in insurance and financial consulting [1]</w:t>
      </w:r>
    </w:p>
    <w:p>
      <w:pPr>
        <w:spacing w:before="40" w:after="40"/>
        <w:ind w:left="283"/>
      </w:pPr>
      <w:r>
        <w:rPr>
          <w:rFonts w:ascii="Calibri" w:hAnsi="Calibri"/>
          <w:b/>
          <w:color w:val="4A6B25"/>
          <w:sz w:val="20"/>
        </w:rPr>
        <w:t xml:space="preserve">3. </w:t>
      </w:r>
      <w:r>
        <w:rPr>
          <w:rFonts w:ascii="Calibri" w:hAnsi="Calibri"/>
          <w:b w:val="0"/>
          <w:color w:val="3A4A28"/>
          <w:sz w:val="20"/>
        </w:rPr>
        <w:t>Commercialization of AI language model projects announced in 2023 with games-as-a-service partners, which could create a technology-driven revenue stream if any product ships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trap — daily traded value of $57K is 98% below IOWN's $1M liquidity floor, making it impossible to build or exit a meaningful position without significant market impact [4]</w:t>
      </w:r>
    </w:p>
    <w:p>
      <w:pPr>
        <w:spacing w:before="40" w:after="40"/>
        <w:ind w:left="283"/>
      </w:pPr>
      <w:r>
        <w:rPr>
          <w:rFonts w:ascii="Calibri" w:hAnsi="Calibri"/>
          <w:b/>
          <w:color w:val="4A6B25"/>
          <w:sz w:val="20"/>
        </w:rPr>
        <w:t xml:space="preserve">2. </w:t>
      </w:r>
      <w:r>
        <w:rPr>
          <w:rFonts w:ascii="Calibri" w:hAnsi="Calibri"/>
          <w:b w:val="0"/>
          <w:color w:val="3A4A28"/>
          <w:sz w:val="20"/>
        </w:rPr>
        <w:t>Going concern risk — $4.5M market cap, 61 employees, negative margins, and serial pivots across unrelated industries suggest the company may not have a viable long-term business model [3]</w:t>
      </w:r>
    </w:p>
    <w:p>
      <w:pPr>
        <w:spacing w:before="40" w:after="40"/>
        <w:ind w:left="283"/>
      </w:pPr>
      <w:r>
        <w:rPr>
          <w:rFonts w:ascii="Calibri" w:hAnsi="Calibri"/>
          <w:b/>
          <w:color w:val="4A6B25"/>
          <w:sz w:val="20"/>
        </w:rPr>
        <w:t xml:space="preserve">3. </w:t>
      </w:r>
      <w:r>
        <w:rPr>
          <w:rFonts w:ascii="Calibri" w:hAnsi="Calibri"/>
          <w:b w:val="0"/>
          <w:color w:val="3A4A28"/>
          <w:sz w:val="20"/>
        </w:rPr>
        <w:t>Chinese micro-cap governance opacity — limited SEC disclosure, no analyst coverage, no institutional ownership, and China-based operations create elevated risk of accounting irregularities or regulatory actions (VIE structure, HFCAA compliance)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Addentax's legacy logistics business — physical freight, warehousing, transportation, and customs clearance — is moderately protected from AI disruption because it involves physical-world operations and regulatory compliance. However, the company's diversification into consulting, digital publishing, and proposed AI/crypto ventures creates a mixed risk profile. The consulting segment faces meaningful AI substitution risk as AI tools automate advisory and administrative functions. The mobile fiction platform faces disruption from AI-generated content. The fragmented, undifferentiated nature of the business across multiple small segments provides no meaningful competitive moat against AI-enabled competitors in any category [1][2]. AI Opportunity (0/1): Despite press releases about AI language models and an AI-crypto asset management platform acquisition, no AI products have shipped and no AI-derived revenue has been reported [2]. The AI announcements remain aspirational with no demonstrable commercial traction.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Addentax Q2 FY2026 Earnings — Revenue $3.4M (+316% YoY from Consulting/Financing), Net Income $2.4M (Non-Cash Derivative Gains), Q3 Net Loss $4.7M, TTM Revenue $5.4M, Gross Margin 14.1%, 2026</w:t>
      </w:r>
    </w:p>
    <w:p>
      <w:pPr>
        <w:spacing w:before="20" w:after="20"/>
        <w:ind w:left="170"/>
      </w:pPr>
      <w:r>
        <w:rPr>
          <w:rFonts w:ascii="Calibri" w:hAnsi="Calibri"/>
          <w:b/>
          <w:color w:val="4A6B25"/>
          <w:sz w:val="15"/>
        </w:rPr>
        <w:t xml:space="preserve">2. </w:t>
      </w:r>
      <w:r>
        <w:rPr>
          <w:rFonts w:ascii="Calibri" w:hAnsi="Calibri"/>
          <w:b w:val="0"/>
          <w:color w:val="3A4A28"/>
          <w:sz w:val="17"/>
        </w:rPr>
        <w:t>Addentax AI Strategy and Acquisitions — AI Internet Operational Tools Project with GaaS Firms (2023), Proposed Riches Group AI-Crypto Asset Management Acquisition (HKD 300M Revenue Potential), CEO Hong Zhida — PRNewswire/CMSWire, 2023-2026</w:t>
      </w:r>
    </w:p>
    <w:p>
      <w:pPr>
        <w:spacing w:before="20" w:after="20"/>
        <w:ind w:left="170"/>
      </w:pPr>
      <w:r>
        <w:rPr>
          <w:rFonts w:ascii="Calibri" w:hAnsi="Calibri"/>
          <w:b/>
          <w:color w:val="4A6B25"/>
          <w:sz w:val="15"/>
        </w:rPr>
        <w:t xml:space="preserve">3. </w:t>
      </w:r>
      <w:r>
        <w:rPr>
          <w:rFonts w:ascii="Calibri" w:hAnsi="Calibri"/>
          <w:b w:val="0"/>
          <w:color w:val="3A4A28"/>
          <w:sz w:val="17"/>
        </w:rPr>
        <w:t>Addentax FY2025 Annual Report (ending Mar 2025) — Revenue $4.2M (-18.9% YoY), Net Loss $5.1M, 61 Full-Time Employees, Shenzhen China HQ — SEC 6-K Filings, 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ATXG Key Statistics: D/E 21.2%, ROE -9.6%, Profit Margin -21.0%, Market Cap $4.5M, Avg Volume 15,164, Stock Price $3.80,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