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AUB</w:t>
      </w:r>
      <w:r>
        <w:rPr>
          <w:rFonts w:ascii="Calibri" w:hAnsi="Calibri"/>
          <w:b/>
          <w:color w:val="1A2010"/>
          <w:sz w:val="40"/>
        </w:rPr>
        <w:t xml:space="preserve">  Atlantic Union Bankshares Corporation</w:t>
      </w:r>
    </w:p>
    <w:p>
      <w:pPr>
        <w:spacing w:after="120"/>
      </w:pPr>
      <w:r>
        <w:rPr>
          <w:rFonts w:ascii="Calibri" w:hAnsi="Calibri"/>
          <w:b/>
          <w:color w:val="6E8450"/>
          <w:sz w:val="18"/>
        </w:rPr>
        <w:t>DIVIDEND SLEEVE · 2026-09-28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Atlantic Union Bankshares is the holding company for Atlantic Union Bank, the largest regional bank headquartered in the lower Mid-Atlantic. Founded in 1902 and headquartered in Glen Allen, Virginia, the bank provides commercial and consumer banking, wealth management, treasury services, and mortgage lending through full-service branches across Virginia, Maryland, and North Carolina. Under CEO John Asbury (since 2016), the company completed a transformative acquisition of Sandy Spring Bancorp in 2024-2025, roughly doubling assets to over $35B and expanding its footprint into the Washington D.C. metro market. FY2025 revenue reached $1.23B (+60.6% YoY) with adjusted EPS of $3.44.</w:t>
      </w:r>
    </w:p>
    <w:p>
      <w:r>
        <w:rPr>
          <w:rFonts w:ascii="Calibri" w:hAnsi="Calibri"/>
          <w:b/>
          <w:color w:val="6E8450"/>
          <w:sz w:val="18"/>
        </w:rPr>
        <w:t>3,073 Employees · https://www.atlanticunionbank.com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Atlantic Union executed a significant business transformation through the Sandy Spring Bancorp acquisition (closed 2024-2025), which nearly doubled the bank's asset base and expanded into the strategically important Washington D.C. metro market [1]. The integration included core systems conversion and branch consolidation, demonstrating execution capability. However, this was M&amp;A-driven scale, not product innovation or market-creating disruption. AI Deployment (0/2): While Natalie Grubbs serves as Head of Digital &amp; Business Technology Solutions and the bank emphasizes digital capabilities, no evidence of AI-powered products shipping to customers or quantified AI-driven efficiency gains was found [3]. Market Share (1/2): AUB is now the largest regional bank in the lower Mid-Atlantic following the Sandy Spring acquisition, a meaningful competitive position in its footprint, but it remains a mid-tier player nationally with ~$35B in assets [1][3]. Product Pipeline (0/2): No specific next-generation banking products with named launch dates and revenue visibility were disclosed. R&amp;D Intensity (0/1): Banks do not traditionally report R&amp;D spending, and no evidence of above-average technology investment relative to regional banking peers was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Atlantic Union Bank's purpose centers on community banking — serving the financial needs of individuals and businesses across Virginia and the mid-Atlantic region since 1902. The mission is clear and identifies its community role, but is not distinctly differentiated from regional bank peers; it describes what the bank does without articulating a transformative vision [3][4]. Community &amp; Charitable Impact (1/2): As a community bank, AUB engages in CRA-required community lending and investment activities, and the Board actively oversees corporate social responsibility matters [4]. However, no specific charitable programs, foundation activities, or dollar amounts for community investment were identified beyond standard regulatory obligations. Employee Retention (1/2): AUB was named a Top Workplace 2025, suggesting above-average employee satisfaction, and CEO John Asbury's 9.9-year tenure provides leadership stability [3]. However, no specific turnover rates, average tenure data, or retention metrics were disclosed. Insider Buying (0/2): No evidence of meaningful net insider buying by executives was identified in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Dividend-classified stock, excluding D/E which is not reported for banks. AUB scores exceptionally well across most metrics: Forward P/E of 9.61x (well below 20x target), profit margin of 32.32% (above 20% target, reflecting strong net interest margin), revenue growth YoY of 35.8% (acquisition-boosted but mechanically above target), and 5-year revenue CAGR of approximately 20% including Sandy Spring integration [1][5]. Dividend metrics are solid: 32 consecutive years of dividend payments, payout ratio of 42.27% (near the 40% target), and 5-year dividend growth CAGR of approximately 6.0% (meeting the 2x inflation target) [5]. The primary drag is ROE of 9.76%, below the 15% target and reflecting the dilutive impact of the Sandy Spring acquisition's goodwill on the equity base — this is expected to improve as integration cost savings are realized [1][2]. Consecutive years of dividend growth estimated at 5, contributing 0.5 to the calculation. Liquidity floor cleared at ~$43.4M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Atlantic Union Bankshares operates as a competent, well-managed community bank that has grown through disciplined M&amp;A rather than pursuing a transformative vision for the future of banking. The 120+ year history demonstrates endurance, but the strategic narrative — grow through acquisitions, optimize efficiency ratios, expand the footprint — is fundamentally finite. Leadership under John Asbury has executed well on M&amp;A (Sandy Spring integration) and maintained cultural consistency (Top Workplace recognition), but the bank's identity is defined by its market position rather than a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AUB's purpose centers on being the premier community bank in the lower Mid-Atlantic — a market position goal, not a Just Cause in Sinek's framework. The company articulates that its culture is 'a source of strength and competitive advantage,' but this describes an attribute, not an inspiring vision of a future state that people would sacrifice to advance [3]. The 120+ year history from 1902 provides heritage, and the community banking model implicitly serves a purpose (financial inclusion, local economic development), but leadership communications emphasize financial metrics (NIM, efficiency ratio, EPS growth) over purpose-driven language.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AUB's Top Workplace 2025 designation provides third-party validation of employee satisfaction [3]. CEO Asbury's nearly 10-year tenure and the orderly integration of Sandy Spring employees suggest organizational stability. However, the integration of two distinct banking cultures (AUB's Virginia heritage and Sandy Spring's Maryland culture) is an ongoing process, and no specific evidence of exceptional trust indicators — low voluntary turnover rates, employee empowerment programs, or cultural practices that create psychological safety — was found beyond the Top Workplace recognition.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AUB's competitive positioning emphasizes being the 'largest regional bank' in the lower Mid-Atlantic — a finite game framing focused on market position and relative size [3]. No evidence was found of management commentary that references learning from competitors' strengths (e.g., acknowledging what larger banks or fintechs do well) or frames competition as motivation for self-improvement rather than market share capture.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AUB has evolved from a small Virginia community bank to the largest regional bank in the lower Mid-Atlantic through a series of acquisitions — Union First Market (2010), Xenith Bankshares (2018), and Sandy Spring Bancorp (2024-2025) [1]. Each acquisition expanded the geographic footprint and scale. The bank has also adopted digital banking capabilities. However, these are incremental evolutionary steps within the same community banking business model, not transformative pivots. The company has not fundamentally reinvented its business model or entered entirely new markets.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Sandy Spring Bancorp acquisition was a significant strategic bet — roughly doubling the bank's size and committing substantial capital and management attention to integration during an uncertain interest rate environment [1]. This demonstrates willingness to make a major long-term investment, accepting near-term integration costs (Q2 2025 EPS depressed to $0.12) for long-term scale benefits. However, bank acquisitions are a well-understood playbook in regional banking, not the kind of contrarian, costly long-term bet that characterizes a 2-point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Atlantic Union Bankshares at 9.61x forward earnings offers a well-managed, acquisition-driven community bank at a reasonable valuation following the transformative Sandy Spring Bancorp integration. FY2025 revenue of $1.23B (+60.6%) and Q2 2026 net income of $158M demonstrate the earnings power of the combined franchise [1][2]. The bank is now the largest regional institution in the lower Mid-Atlantic with period-end loans of $27.7-28.0B, deposits of $30.8-31.0B, and a 2026 NIM target of 3.75-3.80%. The dividend yield of 3.82% with a 42.27% payout ratio provides income with room for continued dividend growth (6% 5-year CAGR). Integration cost savings from Sandy Spring should drive ROE improvement from the current 9.76% toward the bank's historical 11-13% range.</w:t>
      </w:r>
    </w:p>
    <w:p>
      <w:pPr>
        <w:spacing w:after="120"/>
      </w:pPr>
      <w:r>
        <w:rPr>
          <w:rFonts w:ascii="Calibri" w:hAnsi="Calibri"/>
          <w:b w:val="0"/>
          <w:color w:val="3A4A28"/>
          <w:sz w:val="20"/>
        </w:rPr>
        <w:t>The bear case centers on acquisition integration risk, interest rate sensitivity, and limited growth visibility post-Sandy Spring. The headline EPS growth of 835% YoY is entirely due to depressed Q2 2025 earnings ($0.12 EPS) from integration charges, and normalized earnings growth is far more modest [2]. ROE of 9.76% is below the 15% target and below many regional bank peers, reflecting goodwill dilution from the acquisition. The stock has declined from its 52-week high of $43.62 to $38.78, suggesting the market is cautious about integration execution and the interest rate outlook. With period-end loans guided at $27.7-28.0B, organic loan growth (ex-acquisition) appears modest. Credit quality deterioration in the Washington D.C. office market — where Sandy Spring had significant CRE exposure — is a specific risk that could drive elevated provision expense. The Inspire Impact Score of 41 (ALIGNED) is favorable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Sandy Spring integration cost savings — completion of core systems conversion and branch consolidation should drive efficiency ratio improvement toward the mid-40s target for 2026, expanding net income margins beyond the current 32% level [1]</w:t>
      </w:r>
    </w:p>
    <w:p>
      <w:pPr>
        <w:spacing w:before="40" w:after="40"/>
        <w:ind w:left="283"/>
      </w:pPr>
      <w:r>
        <w:rPr>
          <w:rFonts w:ascii="Calibri" w:hAnsi="Calibri"/>
          <w:b/>
          <w:color w:val="4A6B25"/>
          <w:sz w:val="20"/>
        </w:rPr>
        <w:t xml:space="preserve">2. </w:t>
      </w:r>
      <w:r>
        <w:rPr>
          <w:rFonts w:ascii="Calibri" w:hAnsi="Calibri"/>
          <w:b w:val="0"/>
          <w:color w:val="3A4A28"/>
          <w:sz w:val="20"/>
        </w:rPr>
        <w:t>ROE recovery from 9.76% toward historical 11-13% range as acquisition-related goodwill dilution is offset by higher pre-provision net revenue from the combined $35B+ asset franchise [2]</w:t>
      </w:r>
    </w:p>
    <w:p>
      <w:pPr>
        <w:spacing w:before="40" w:after="40"/>
        <w:ind w:left="283"/>
      </w:pPr>
      <w:r>
        <w:rPr>
          <w:rFonts w:ascii="Calibri" w:hAnsi="Calibri"/>
          <w:b/>
          <w:color w:val="4A6B25"/>
          <w:sz w:val="20"/>
        </w:rPr>
        <w:t xml:space="preserve">3. </w:t>
      </w:r>
      <w:r>
        <w:rPr>
          <w:rFonts w:ascii="Calibri" w:hAnsi="Calibri"/>
          <w:b w:val="0"/>
          <w:color w:val="3A4A28"/>
          <w:sz w:val="20"/>
        </w:rPr>
        <w:t>Net interest margin expansion — 2026 NIM guided at 3.75-3.80%, benefiting from the combined franchise's deposit base repricing and potential Fed rate cuts that would reduce deposit costs faster than asset yields decline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 real estate credit quality deterioration — Sandy Spring's significant exposure to Washington D.C. metro office properties creates elevated provision risk as the office sector continues to face remote work structural headwinds, potentially requiring material reserve builds [1]</w:t>
      </w:r>
    </w:p>
    <w:p>
      <w:pPr>
        <w:spacing w:before="40" w:after="40"/>
        <w:ind w:left="283"/>
      </w:pPr>
      <w:r>
        <w:rPr>
          <w:rFonts w:ascii="Calibri" w:hAnsi="Calibri"/>
          <w:b/>
          <w:color w:val="4A6B25"/>
          <w:sz w:val="20"/>
        </w:rPr>
        <w:t xml:space="preserve">2. </w:t>
      </w:r>
      <w:r>
        <w:rPr>
          <w:rFonts w:ascii="Calibri" w:hAnsi="Calibri"/>
          <w:b w:val="0"/>
          <w:color w:val="3A4A28"/>
          <w:sz w:val="20"/>
        </w:rPr>
        <w:t>Integration execution risk — merging two distinct banking cultures, technology platforms, and customer relationships is a multi-year process, and the 60.6% revenue jump masks whether organic growth in the legacy AUB franchise has stalled during management distraction [1][2]</w:t>
      </w:r>
    </w:p>
    <w:p>
      <w:pPr>
        <w:spacing w:before="40" w:after="40"/>
        <w:ind w:left="283"/>
      </w:pPr>
      <w:r>
        <w:rPr>
          <w:rFonts w:ascii="Calibri" w:hAnsi="Calibri"/>
          <w:b/>
          <w:color w:val="4A6B25"/>
          <w:sz w:val="20"/>
        </w:rPr>
        <w:t xml:space="preserve">3. </w:t>
      </w:r>
      <w:r>
        <w:rPr>
          <w:rFonts w:ascii="Calibri" w:hAnsi="Calibri"/>
          <w:b w:val="0"/>
          <w:color w:val="3A4A28"/>
          <w:sz w:val="20"/>
        </w:rPr>
        <w:t>Interest rate sensitivity — as a net interest income-dependent bank (NII guided at $1.16-1.165B for 2026), AUB's earnings are directly exposed to yield curve movements, and a flattening or inverted curve would compress NIM below the 3.75-3.80% target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Community and commercial banking has meaningful defensive moats against AI disruption — regulatory requirements (banking charters, FDIC insurance, BSA/AML compliance), relationship-driven commercial lending, and physical branch presence create switching costs and barriers that AI cannot easily replicate [3][4]. AUB's focus on relationship banking in the mid-Atlantic serves small and mid-size businesses that value personal banker relationships. However, AI poses real substitution risk for back-office operations (loan processing, underwriting automation), consumer banking functions (AI chatbots, digital lending), and potentially wealth management advisory services. Fintech competitors deploying AI-powered lending platforms could compress margins on commodity lending products. Analysts have not flagged AUB specifically as facing acute AI disruption risk, but the broader banking sector faces meaningful digitization pressure. AI Opportunity (0/1): No evidence of AI-powered products generating revenue or quantified AI-driven operational savings. While the bank has a Head of Digital &amp; Business Technology Solutions, no specific AI revenue contribution was identified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Atlantic Union Bankshares FY2025 Results — Revenue $1.23B (+60.6% YoY), adjusted EPS $3.44, Sandy Spring integration, loans $27.7-28.0B, NIM guidance 3.75-3.80%, December 2025</w:t>
      </w:r>
    </w:p>
    <w:p>
      <w:pPr>
        <w:spacing w:before="20" w:after="20"/>
        <w:ind w:left="170"/>
      </w:pPr>
      <w:r>
        <w:rPr>
          <w:rFonts w:ascii="Calibri" w:hAnsi="Calibri"/>
          <w:b/>
          <w:color w:val="4A6B25"/>
          <w:sz w:val="15"/>
        </w:rPr>
        <w:t xml:space="preserve">2. </w:t>
      </w:r>
      <w:r>
        <w:rPr>
          <w:rFonts w:ascii="Calibri" w:hAnsi="Calibri"/>
          <w:b w:val="0"/>
          <w:color w:val="3A4A28"/>
          <w:sz w:val="17"/>
        </w:rPr>
        <w:t>AUB Q2 2026 Quarterly Results — Revenue $403.6M, EPS $1.11, net income $158M, year-over-year growth from depressed Q2 2025 base of $0.12 EPS, Simply Wall St/Pluang, July 2026</w:t>
      </w:r>
    </w:p>
    <w:p>
      <w:pPr>
        <w:spacing w:before="20" w:after="20"/>
        <w:ind w:left="170"/>
      </w:pPr>
      <w:r>
        <w:rPr>
          <w:rFonts w:ascii="Calibri" w:hAnsi="Calibri"/>
          <w:b/>
          <w:color w:val="4A6B25"/>
          <w:sz w:val="15"/>
        </w:rPr>
        <w:t xml:space="preserve">3. </w:t>
      </w:r>
      <w:r>
        <w:rPr>
          <w:rFonts w:ascii="Calibri" w:hAnsi="Calibri"/>
          <w:b w:val="0"/>
          <w:color w:val="3A4A28"/>
          <w:sz w:val="17"/>
        </w:rPr>
        <w:t>AUB Leadership and Culture — CEO John Asbury (9.9 yr tenure, 35+ years banking experience), Top Workplace 2025, Head of Digital Natalie Grubbs, American Bankers Association, 2025-2026</w:t>
      </w:r>
    </w:p>
    <w:p>
      <w:pPr>
        <w:spacing w:before="20" w:after="20"/>
        <w:ind w:left="170"/>
      </w:pPr>
      <w:r>
        <w:rPr>
          <w:rFonts w:ascii="Calibri" w:hAnsi="Calibri"/>
          <w:b/>
          <w:color w:val="4A6B25"/>
          <w:sz w:val="15"/>
        </w:rPr>
        <w:t xml:space="preserve">4. </w:t>
      </w:r>
      <w:r>
        <w:rPr>
          <w:rFonts w:ascii="Calibri" w:hAnsi="Calibri"/>
          <w:b w:val="0"/>
          <w:color w:val="3A4A28"/>
          <w:sz w:val="17"/>
        </w:rPr>
        <w:t>AUB Corporate Governance &amp; ESG — Board ESG oversight, CSR Report, community banking commitments, anti-ESG regulatory landscape, Atlantic Union Bank website,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AUB Key Statistics: Forward P/E 9.61x, ROE 9.76%, Profit Margin 32.32%, Dividend Yield 3.82%, Stock Price $38.78,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