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AUTL</w:t>
      </w:r>
      <w:r>
        <w:rPr>
          <w:rFonts w:ascii="Calibri" w:hAnsi="Calibri"/>
          <w:b/>
          <w:color w:val="1A2010"/>
          <w:sz w:val="40"/>
        </w:rPr>
        <w:t xml:space="preserve">  Autolus Therapeutics plc</w:t>
      </w:r>
    </w:p>
    <w:p>
      <w:pPr>
        <w:spacing w:after="120"/>
      </w:pPr>
      <w:r>
        <w:rPr>
          <w:rFonts w:ascii="Calibri" w:hAnsi="Calibri"/>
          <w:b/>
          <w:color w:val="6E8450"/>
          <w:sz w:val="18"/>
        </w:rPr>
        <w:t>GROWTH SLEEVE · 2026-09-11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Kingdom</w:t>
      </w:r>
    </w:p>
    <w:p>
      <w:pPr>
        <w:spacing w:after="80"/>
      </w:pPr>
      <w:r>
        <w:rPr>
          <w:rFonts w:ascii="Calibri" w:hAnsi="Calibri"/>
          <w:b w:val="0"/>
          <w:color w:val="3A4A28"/>
          <w:sz w:val="20"/>
        </w:rPr>
        <w:t>Autolus Therapeutics is a UK-based, early-commercial biopharmaceutical company developing next-generation T-cell (CAR-T) therapies for cancer and autoimmune disease, founded in 2014 as a spinout from the UCL Cancer Institute. Its lead product AUCATZYL (obecabtagene autoleucel), approved for relapsed/refractory adult B-cell acute lymphoblastic leukemia, generated approximately $75M in full-year 2025 revenue and is guided to $120M-$135M for 2026, with UK launch beginning January 2026 and treatment now available at more than 60 U.S. centers [1].</w:t>
      </w:r>
    </w:p>
    <w:p>
      <w:r>
        <w:rPr>
          <w:rFonts w:ascii="Calibri" w:hAnsi="Calibri"/>
          <w:b/>
          <w:color w:val="6E8450"/>
          <w:sz w:val="18"/>
        </w:rPr>
        <w:t>430 Employees · https://www.autolus.com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Autolus converted a decade of T-cell engineering R&amp;D into FDA approval and a successful commercial launch of AUCATZYL, with full-year 2025 sales 'well above expectations' and Q1 2026 revenue of $26.2M reaffirming $120M-$135M full-year guidance — a genuine new-revenue-stream launch, though still a single product [1]. AI Deployment (0/2): No evidence of AI-powered products or AI-driven quantified savings was identified. Market Share (1/2): AUCATZYL is a differentiated but not category-leading option within the broader CAR-T landscape for B-cell malignancies, competing against approved therapies like Kymriah. Product Pipeline (1/2): The company references expansion of its T-cell engineering platform into additional indications, but specific next-generation candidates with dated timelines were not identified in this research window. R&amp;D Intensity (1/1): As an early-commercial biotech still investing heavily in manufacturing and clinical development relative to a nascent revenue base, R&amp;D intensity is well above typical industry averages.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Autolus's purpose — developing next-generation T-cell therapies to transform outcomes for cancer and autoimmune disease patients — is specific and credible, reflecting its origin as a UCL Cancer Institute academic spinout built around programmed T-cell science rather than a generic biotech mission statement [2]. Community Impact (0/2): No specific charitable or community investment programs were identified. Employee Retention (0/2): The company describes a 'flexible, diverse, and dynamic working environment' but no hard tenure or turnover data was found to substantiate above-average retention. Insider Buying (0/2): No insider transaction data was identified in the research window.</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using growth-stock weighting. D/E of 491% (driven substantially by royalty-based financing against future AUCATZYL sales) is far beyond the 300% floor and scores 0, and ROE of -133% and profit margin of -238.65% are both below their respective 0% floors and score 0. Revenue growth YoY, estimated at roughly 70% using 2025 actual ($75M) versus 2026 guidance midpoint ($127.5M), scores at the 1.0 cap. Forward P/E, PEG, and 5-year revenue CAGR are not meaningful for this pre-profitability company and were excluded from the calculation. The stock clears the liquidity floor at roughly $4.45M average daily dollar volume, so the liquidity hard rule does not apply, but the underlying balance sheet and profitability metrics are weak, consistent with an early-commercial biotech still burning cash (-$232.73M trailing-twelve-month operating cash flow) while funding a royalty debt structure.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Autolus's decade-long, capital-intensive path from a UCL academic spinout to an approved, commercial CAR-T therapy reflects a genuine service-oriented mission sustained through years of pre-revenue investment, which Sinek would credit as real commitment. But the company is still early in its commercial life, has taken on royalty-based financing that constrains flexibility, and no evidence was found of the organizational trust, competitive framing, or transformative pivot that would earn a higher infinite-game score.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Autolus's mission to transform outcomes for cancer and autoimmune disease patients through next-generation T-cell engineering traces directly to its 2014 founding as a UCL Cancer Institute spinout, and the company sustained a decade of investment before its first approval and commercial revenue in 2025 — genuine and partially lived, though not yet tested across a full market cycle or leadership transition as a truly validated Just Cause [1][2].</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company describes a 'flexible, diverse, and dynamic working environment which actively promotes creativity, leadership and teamwork,' consistent with adequate trust for a science-driven organization, but no turnover or tenure data was found to support a top-tier score [2].</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of Autolus publicly framing competing CAR-T developers as sources of learning or improvement.</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Autolus has remained focused on its core T-cell engineering platform since founding, with no evidence of a dramatic strategic pivot away from its original business model; this is expected given the company's youth and single-product commercial stage rather than a mark against it.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Sustaining roughly a decade of R&amp;D investment (2014-2024) before any product revenue, and continuing to fund manufacturing scale-up and international launch (UK, January 2026) while carrying a heavy royalty debt structure, reflects a willingness to prioritize long-term platform development over near-term financial conservatism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Autolus has crossed the hardest threshold in biotech — regulatory approval and a successful commercial launch — with AUCATZYL generating roughly $75M in 2025 revenue and guided to $120M-$135M in 2026, alongside a UK launch that began in January 2026 and a U.S. footprint now exceeding 60 treatment centers [1]. Management is targeting 65%-70% peak gross margin in the adult ALL indication as manufacturing efficiency improves, and GBP 229.4M of cash and investments as of Q1 2026 is guided to fund operations into Q4 2027, giving the company a multi-year runway to prove out the commercial model without near-term financing risk. As a differentiated, physically-manufactured cell therapy, AUCATZYL's core business is structurally immune to AI disruption, and analyst consensus rates the stock a 'Strong Buy' with a price target of $8.73 against a current price of $1.96.</w:t>
      </w:r>
    </w:p>
    <w:p>
      <w:pPr>
        <w:spacing w:after="120"/>
      </w:pPr>
      <w:r>
        <w:rPr>
          <w:rFonts w:ascii="Calibri" w:hAnsi="Calibri"/>
          <w:b w:val="0"/>
          <w:color w:val="3A4A28"/>
          <w:sz w:val="20"/>
        </w:rPr>
        <w:t>The bear case is straightforward: this remains an early-commercial, loss-making biotech with a fragile balance sheet. D/E of 491% and ROE of -133% both breach the Infrastructure hard floors, profit margin of -238.65% reflects revenue that still falls far short of covering operating and manufacturing costs, and trailing-twelve-month operating cash flow of -$232.73M is being funded partly through royalty-based debt that encumbers future AUCATZYL sales. AUCATZYL competes in an increasingly crowded CAR-T landscape for B-cell malignancies, and single-product concentration means any manufacturing slip, safety signal, or reimbursement setback would disproportionately impact the investment case. The company has not yet demonstrated a second approved product or the platform breadth that would justify a materially higher Innovation or Infrastructure score.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AUCATZYL revenue ramp toward the $120M-$135M 2026 guidance range and progress toward the targeted 65%-70% peak gross margin in adult ALL as manufacturing efficiency improves [1]</w:t>
      </w:r>
    </w:p>
    <w:p>
      <w:pPr>
        <w:spacing w:before="40" w:after="40"/>
        <w:ind w:left="283"/>
      </w:pPr>
      <w:r>
        <w:rPr>
          <w:rFonts w:ascii="Calibri" w:hAnsi="Calibri"/>
          <w:b/>
          <w:color w:val="4A6B25"/>
          <w:sz w:val="20"/>
        </w:rPr>
        <w:t xml:space="preserve">2. </w:t>
      </w:r>
      <w:r>
        <w:rPr>
          <w:rFonts w:ascii="Calibri" w:hAnsi="Calibri"/>
          <w:b w:val="0"/>
          <w:color w:val="3A4A28"/>
          <w:sz w:val="20"/>
        </w:rPr>
        <w:t>UK and broader European commercial rollout following the January 2026 UK launch, expanding AUCATZYL's addressable patient population beyond the U.S. [1]</w:t>
      </w:r>
    </w:p>
    <w:p>
      <w:pPr>
        <w:spacing w:before="40" w:after="40"/>
        <w:ind w:left="283"/>
      </w:pPr>
      <w:r>
        <w:rPr>
          <w:rFonts w:ascii="Calibri" w:hAnsi="Calibri"/>
          <w:b/>
          <w:color w:val="4A6B25"/>
          <w:sz w:val="20"/>
        </w:rPr>
        <w:t xml:space="preserve">3. </w:t>
      </w:r>
      <w:r>
        <w:rPr>
          <w:rFonts w:ascii="Calibri" w:hAnsi="Calibri"/>
          <w:b w:val="0"/>
          <w:color w:val="3A4A28"/>
          <w:sz w:val="20"/>
        </w:rPr>
        <w:t>Pipeline readouts or new indication expansion for the underlying T-cell engineering platform that would reduce single-product concentration risk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Balance sheet fragility: D/E of 491% and continued cash burn (-$232.73M trailing-twelve-month operating cash flow) against a royalty debt structure that encumbers future AUCATZYL revenue [4]</w:t>
      </w:r>
    </w:p>
    <w:p>
      <w:pPr>
        <w:spacing w:before="40" w:after="40"/>
        <w:ind w:left="283"/>
      </w:pPr>
      <w:r>
        <w:rPr>
          <w:rFonts w:ascii="Calibri" w:hAnsi="Calibri"/>
          <w:b/>
          <w:color w:val="4A6B25"/>
          <w:sz w:val="20"/>
        </w:rPr>
        <w:t xml:space="preserve">2. </w:t>
      </w:r>
      <w:r>
        <w:rPr>
          <w:rFonts w:ascii="Calibri" w:hAnsi="Calibri"/>
          <w:b w:val="0"/>
          <w:color w:val="3A4A28"/>
          <w:sz w:val="20"/>
        </w:rPr>
        <w:t>Single-product commercial concentration — nearly all near-term value depends on AUCATZYL's continued launch execution in a competitive CAR-T landscape for B-cell malignancies</w:t>
      </w:r>
    </w:p>
    <w:p>
      <w:pPr>
        <w:spacing w:before="40" w:after="40"/>
        <w:ind w:left="283"/>
      </w:pPr>
      <w:r>
        <w:rPr>
          <w:rFonts w:ascii="Calibri" w:hAnsi="Calibri"/>
          <w:b/>
          <w:color w:val="4A6B25"/>
          <w:sz w:val="20"/>
        </w:rPr>
        <w:t xml:space="preserve">3. </w:t>
      </w:r>
      <w:r>
        <w:rPr>
          <w:rFonts w:ascii="Calibri" w:hAnsi="Calibri"/>
          <w:b w:val="0"/>
          <w:color w:val="3A4A28"/>
          <w:sz w:val="20"/>
        </w:rPr>
        <w:t>Manufacturing and reimbursement execution risk inherent to cell therapy commercialization, where any supply chain, vein-to-vein timing, or payer access issue could materially slow the revenue ramp</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Autolus's business — manufacturing a patient-specific, FDA-approved biological cell therapy product — depends on regulatory approval, cleanroom manufacturing capability, and proprietary cell engineering IP, none of which AI software can substitute or disrupt [1][2]. No analyst commentary was found suggesting AI poses a competitive or substitution risk to CAR-T cell therapy manufacturing or commercialization. AI Opportunity (0/1): No quantified AI-driven revenue or manufacturing efficiency gains specific to Autolus were identified in this research window.</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Autolus Therapeutics Q1 2026 and FY2025 Financial Results and Business Updates — GlobeNewswire, Yahoo Finance, Seeking Alpha, SEC 8-K filings, 2026</w:t>
      </w:r>
    </w:p>
    <w:p>
      <w:pPr>
        <w:spacing w:before="20" w:after="20"/>
        <w:ind w:left="170"/>
      </w:pPr>
      <w:r>
        <w:rPr>
          <w:rFonts w:ascii="Calibri" w:hAnsi="Calibri"/>
          <w:b/>
          <w:color w:val="4A6B25"/>
          <w:sz w:val="15"/>
        </w:rPr>
        <w:t xml:space="preserve">2. </w:t>
      </w:r>
      <w:r>
        <w:rPr>
          <w:rFonts w:ascii="Calibri" w:hAnsi="Calibri"/>
          <w:b w:val="0"/>
          <w:color w:val="3A4A28"/>
          <w:sz w:val="17"/>
        </w:rPr>
        <w:t>Autolus Therapeutics Leadership and Culture — autolus.com, CB Insights, BioSpace, 2025-2026</w:t>
      </w:r>
    </w:p>
    <w:p>
      <w:pPr>
        <w:spacing w:before="20" w:after="20"/>
        <w:ind w:left="170"/>
      </w:pPr>
      <w:r>
        <w:rPr>
          <w:rFonts w:ascii="Calibri" w:hAnsi="Calibri"/>
          <w:b/>
          <w:color w:val="4A6B25"/>
          <w:sz w:val="15"/>
        </w:rPr>
        <w:t xml:space="preserve">3. </w:t>
      </w:r>
      <w:r>
        <w:rPr>
          <w:rFonts w:ascii="Calibri" w:hAnsi="Calibri"/>
          <w:b w:val="0"/>
          <w:color w:val="3A4A28"/>
          <w:sz w:val="17"/>
        </w:rPr>
        <w:t>stockanalysis.com — AUTL Statistics &amp; Valuation,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