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AVBC</w:t>
      </w:r>
      <w:r>
        <w:rPr>
          <w:rFonts w:ascii="Calibri" w:hAnsi="Calibri"/>
          <w:b/>
          <w:color w:val="1A2010"/>
          <w:sz w:val="40"/>
        </w:rPr>
        <w:t xml:space="preserve">  Avidia Bancorp, Inc.</w:t>
      </w:r>
    </w:p>
    <w:p>
      <w:pPr>
        <w:spacing w:after="120"/>
      </w:pPr>
      <w:r>
        <w:rPr>
          <w:rFonts w:ascii="Calibri" w:hAnsi="Calibri"/>
          <w:b/>
          <w:color w:val="6E8450"/>
          <w:sz w:val="18"/>
        </w:rPr>
        <w:t>GROWTH SLEEVE · 2026-10-10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NYSE · United States</w:t>
      </w:r>
    </w:p>
    <w:p>
      <w:pPr>
        <w:spacing w:after="80"/>
      </w:pPr>
      <w:r>
        <w:rPr>
          <w:rFonts w:ascii="Calibri" w:hAnsi="Calibri"/>
          <w:b w:val="0"/>
          <w:color w:val="3A4A28"/>
          <w:sz w:val="20"/>
        </w:rPr>
        <w:t>Avidia Bancorp, Inc. is the holding company for Avidia Bank, a Massachusetts-chartered community bank founded in 1869 and headquartered in Hudson, MA. The bank provides consumer and commercial banking services including savings, checking, CDs, mortgages, home equity, commercial loans, HSA accounts, and payment processing services. Avidia completed its mutual-to-stock conversion and IPO in July 2025 at $10.00/share, raising capital and establishing an $11.5M charitable foundation. Q2 2026 net income was $7.2M ($0.39 EPS), up 85% YoY, with net interest income of $24.0M (+16% YoY). Total assets of $2.84B.</w:t>
      </w:r>
    </w:p>
    <w:p>
      <w:r>
        <w:rPr>
          <w:rFonts w:ascii="Calibri" w:hAnsi="Calibri"/>
          <w:b/>
          <w:color w:val="6E8450"/>
          <w:sz w:val="18"/>
        </w:rPr>
        <w:t>241 Employees · https://www.avidiabank.com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Avidia's most significant transformation was the mutual-to-stock conversion completed in July 2025, transitioning from a 156-year-old mutual savings bank to a publicly traded holding company [1]. This was a material structural shift but follows a well-worn playbook for community bank IPOs. The bank operates several niche business lines (HSA accounts, payment processing, dental practice loans, condo association loans) but has not launched transformative new products. AI Deployment (0/2): No evidence of AI-powered products or quantified AI-driven cost savings. The bank has an NVIDIA executive on its board of directors, providing technology insight, but no actual AI products have been deployed [2]. Market Share (1/2): Avidia is a meaningful Massachusetts community bank with $2.84B in total assets, $2.26B in loans, and $2.15B in deposits, serving customers locally and nationally through niche business lines [1]. However, it is not a category leader in any identifiable banking segment. Pipeline (1/2): The IPO capital infusion, 20% dividend increase to $0.06/quarter, and $30M stock repurchase authorization signal confidence in growth [1]. Management plans for commercial lending expansion, though no specific product launches or M&amp;A timelines have been articulated. R&amp;D Intensity (0/1): Community banks do not maintain traditional R&amp;D functions.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Avidia Bank's identity as a 157-year-old community bank 'Fueled by Community. Strengthened by Innovation' reflects genuine commitment to community banking with a culture of innovation and customer service excellence [2]. For a bank with continuous operations since 1869, this is intentional and purposeful, but remains interchangeable with many New England community banks. Community Impact (2/2): Avidia established the Avidia Bank Charitable Foundation in 1997 and at the 2025 IPO contributed $1.0M in cash plus 900,000 shares (~$9M at IPO price) to the foundation [3]. The foundation focuses on healthcare, education, legal aid, and human services, with the 'Be a Champion for a Child' initiative supporting Boys and Girls Clubs of MetroWest. This is distinctive and well-funded community investment. Employee Retention (1/2): CEO Robert Cozzone joined from Rockland Trust (24-year tenure there) in 2023, with CFO Jonathan Nelson and EVP Barry Jensen added in 2024, indicating thoughtful succession planning [2]. The 241-employee organization is small enough for direct leadership relationships, though no specific turnover data is publicly available. Insider Buying (1/2): Strong insider buying pattern in 2026 — CEO Cozzone purchased ~$90K in shares, CFO Nelson $20K, director Gilles $97.5K, and officer Jensen made multiple purchases totaling ~$60K [4]. All recent transactions are purchases with no insider sales, signaling unanimous leadership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Avidia's financial profile shows improving profitability following the IPO conversion normalization. D/E data is unavailable from yfinance (excluded from calculation). ROE of 6.06% TTM is below the 15% target (score 0.40, 2x weight), reflecting the dilutive impact of the large IPO capital raise on the equity base — Q2 2026 annualized ROE was higher at approximately 7.5% [1]. Revenue growth of 16.9% YoY exceeds the 10% target (score 1.0), driven by Q2 net interest income up 16% YoY to $24.0M and total net revenue of $29.9M (+6% QoQ) [1]. Revenue CAGR of approximately 8.9% from 2023-2025 is approaching the 10% target (score 0.93, 2x weight). Forward P/E of 14.79x is well below the 20x target (score 1.0). Profit margin of 16.26% TTM approaches the 20% target (score 0.81), with Q2 net income of $7.2M and efficiency ratio improving to 65.3% [1]. First half 2026 net income of $13.2M compared to a $7.7M net loss in H1 2025 demonstrates dramatic profitability improvement. Liquidity floor cleared: 142,204 avg daily volume x $21.89 = $3.11M.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Avidia Bank's 157-year operating history since 1869 is itself powerful evidence of institutional endurance — surviving multiple economic crises, world wars, industry disruptions, and social transformations. The mutual-to-stock conversion preserved the community mission through an $11.5M charitable foundation while accessing growth capital. The new leadership team under CEO Cozzone has demonstrated thoughtful succession planning. However, the company is early in its public company journey, and it remains to be seen whether shareholder return pressures will conflict with the community-first ethos.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Avidia's 157-year history as a community bank serving Massachusetts demonstrates a durable purpose — local banking, community support, and customer service that has persisted through two world wars, the Great Depression, multiple recessions, and the digital revolution [2][3]. The $11.5M charitable foundation funded at IPO explicitly preserved the community mission alongside the capital markets transition. However, the mission is not articulated at a level that inspires beyond standard community banking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Robert Cozzone's 24-year tenure at Rockland Trust before joining Avidia in 2023 suggests stable leadership character [2]. The leadership team has been stable through the IPO conversion process, with thoughtful additions (CFO Nelson, EVP Jensen) indicating planned organizational development. With ~241 employees, the organization is small enough for direct leadership relationships. No evidence of layoffs, cultural upheaval, or organizational instability was found.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acknowledging competitors' strengths or framing competition as motivation to improve. Avidia competes in the fragmented Massachusetts community banking space, and positioning language focuses on its own combination of risk management and innovation culture rather than learning from rivals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mutual-to-stock conversion abandoned Avidia's 156-year mutual ownership structure to access public market capital for growth — a genuine structural reinvention even if it follows an established banking pattern [1][3]. The bank's expansion into national niche business lines (HSA accounts, payment processing, dental practice lending) shows geographic and product flexibility beyond traditional local banking.</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mutual-to-stock conversion, while structurally significant, follows a well-established playbook for mutual savings bank IPOs and was primarily a capital strategy decision [1]. The 20% dividend increase and $30M share repurchase authorization are shareholder-friendly but conventional capital deployment decisions. No evidence of leadership making costly long-term bets, walking away from profitable but misaligned businesses, or investing counter-cyclically during downturns was found.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Avidia Bancorp is a recently public Massachusetts community bank with 157 years of operating history and rapidly improving financials after normalizing from the IPO conversion. Q2 2026 net income rose 85% YoY to $7.2M ($0.39 EPS) with net interest income up 16% to $24.0M, NIM of 3.64%, and ROA of 1.04% [1]. First half 2026 net income of $13.2M represents a dramatic turnaround from a $7.7M net loss in H1 2025 (driven by a one-time $18.8M credit loss). Forward P/E of 14.79x represents a discount to regional bank peers. Management raised the quarterly dividend 20% to $0.06/share and authorized a $30M stock repurchase program, signaling confidence in sustained earnings power [1]. Unanimous insider buying by CEO ($90K), CFO ($20K), directors ($97.5K), and officers (~$60K) with no insider sales reinforces leadership conviction [4]. The $11.5M charitable foundation and 157-year heritage provide authentic community alignment [3].</w:t>
      </w:r>
    </w:p>
    <w:p>
      <w:pPr>
        <w:spacing w:after="120"/>
      </w:pPr>
      <w:r>
        <w:rPr>
          <w:rFonts w:ascii="Calibri" w:hAnsi="Calibri"/>
          <w:b w:val="0"/>
          <w:color w:val="3A4A28"/>
          <w:sz w:val="20"/>
        </w:rPr>
        <w:t>The bear case centers on scale disadvantage, modest returns, and community bank structural challenges. ROE of 6.06% TTM is well below the 15% target and cost of equity for most investors, reflecting the dilutive impact of the large IPO capital raise that must be deployed into earning assets over time [1]. While revenue growth of 16.9% YoY is encouraging, the 5-year revenue CAGR of 8.9% is below the 10% target, and total loans declined 1% QoQ to $2.26B suggesting lending growth may be stalling. Community banks face secular headwinds from fintech competitors automating loan origination, branch consolidation trends, and AI-driven automation at larger institutions. As a newly public company (IPO July 2025), the operating track record under public market scrutiny is limited — the Q1 2025 $18.8M credit loss (primarily from one commercial loan charge-off) demonstrates the concentration risk inherent in a $2.84B asset community bank where a single loan can materially impact results. D/E data is unavailable, limiting balance sheet visibility. Dividend yield of only 0.73% does not qualify for the Dividend sleeve.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Post-IPO earnings normalization driving improving profitability — Q2 2026 net income of $7.2M (up 85% YoY) with ROA of 1.04%, NIM of 3.64%, and efficiency ratio of 65.3% demonstrate a normalized earnings trajectory above pre-IPO levels [1]</w:t>
      </w:r>
    </w:p>
    <w:p>
      <w:pPr>
        <w:spacing w:before="40" w:after="40"/>
        <w:ind w:left="283"/>
      </w:pPr>
      <w:r>
        <w:rPr>
          <w:rFonts w:ascii="Calibri" w:hAnsi="Calibri"/>
          <w:b/>
          <w:color w:val="4A6B25"/>
          <w:sz w:val="20"/>
        </w:rPr>
        <w:t xml:space="preserve">2. </w:t>
      </w:r>
      <w:r>
        <w:rPr>
          <w:rFonts w:ascii="Calibri" w:hAnsi="Calibri"/>
          <w:b w:val="0"/>
          <w:color w:val="3A4A28"/>
          <w:sz w:val="20"/>
        </w:rPr>
        <w:t>Deployment of IPO capital into commercial loan growth and potential M&amp;A, with $30M stock repurchase authorization and 20% dividend increase demonstrating capital return capacity while maintaining growth investment [1]</w:t>
      </w:r>
    </w:p>
    <w:p>
      <w:pPr>
        <w:spacing w:before="40" w:after="40"/>
        <w:ind w:left="283"/>
      </w:pPr>
      <w:r>
        <w:rPr>
          <w:rFonts w:ascii="Calibri" w:hAnsi="Calibri"/>
          <w:b/>
          <w:color w:val="4A6B25"/>
          <w:sz w:val="20"/>
        </w:rPr>
        <w:t xml:space="preserve">3. </w:t>
      </w:r>
      <w:r>
        <w:rPr>
          <w:rFonts w:ascii="Calibri" w:hAnsi="Calibri"/>
          <w:b w:val="0"/>
          <w:color w:val="3A4A28"/>
          <w:sz w:val="20"/>
        </w:rPr>
        <w:t>Unanimous insider buying by CEO Cozzone ($90K), CFO Nelson ($20K), director Gilles ($97.5K), and officer Jensen (~$60K) with no insider sales signals unanimous leadership confidence in near-term value creation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ROE of 6.06% TTM is well below the 15% target and cost of equity — the diluted IPO equity base must be deployed into earning assets over time, and failure to grow ROE could limit multiple expansion and total returns [1]</w:t>
      </w:r>
    </w:p>
    <w:p>
      <w:pPr>
        <w:spacing w:before="40" w:after="40"/>
        <w:ind w:left="283"/>
      </w:pPr>
      <w:r>
        <w:rPr>
          <w:rFonts w:ascii="Calibri" w:hAnsi="Calibri"/>
          <w:b/>
          <w:color w:val="4A6B25"/>
          <w:sz w:val="20"/>
        </w:rPr>
        <w:t xml:space="preserve">2. </w:t>
      </w:r>
      <w:r>
        <w:rPr>
          <w:rFonts w:ascii="Calibri" w:hAnsi="Calibri"/>
          <w:b w:val="0"/>
          <w:color w:val="3A4A28"/>
          <w:sz w:val="20"/>
        </w:rPr>
        <w:t>Credit concentration risk demonstrated by the Q1 2025 $18.8M charge-off from a single commercial loan — a $2.84B asset community bank remains vulnerable to individual large credit losses that can erase quarterly profits [1]</w:t>
      </w:r>
    </w:p>
    <w:p>
      <w:pPr>
        <w:spacing w:before="40" w:after="40"/>
        <w:ind w:left="283"/>
      </w:pPr>
      <w:r>
        <w:rPr>
          <w:rFonts w:ascii="Calibri" w:hAnsi="Calibri"/>
          <w:b/>
          <w:color w:val="4A6B25"/>
          <w:sz w:val="20"/>
        </w:rPr>
        <w:t xml:space="preserve">3. </w:t>
      </w:r>
      <w:r>
        <w:rPr>
          <w:rFonts w:ascii="Calibri" w:hAnsi="Calibri"/>
          <w:b w:val="0"/>
          <w:color w:val="3A4A28"/>
          <w:sz w:val="20"/>
        </w:rPr>
        <w:t>Community bank structural headwinds from fintech competition, AI-driven automation at larger institutions, and branch consolidation trends could compress long-term earnings power for sub-$5B asset banks without scale advantages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Community banking involves physical branch operations, regulatory compliance (FDIC, OCC, Massachusetts state banking regulators), relationship lending with local market knowledge, and fiduciary responsibilities that AI cannot fully replace [1]. Avidia's niche business lines — HSA accounts, dental practice loans, condo association loans, municipal banking, law firm banking — require specialized underwriting knowledge and relationship management that AI augments but cannot substitute. However, AI tools from fintech competitors and large banks are automating loan origination, fraud detection, and customer service at scale, creating competitive pressure on community bank cost structures. AI Opportunity (0/1): No evidence of AI-generated revenue products. Digital banking and payment processing capabilities are standard without AI-powered differentiation, though having an NVIDIA executive on the board may inform future technology strategy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Avidia Bancorp Q1 and Q2 2026 Earnings Releases — Q2 net income $7.2M ($0.39 EPS, +85% YoY), net revenue $29.9M (+6% QoQ), NIM 3.64%, ROA 1.04%, net interest income $24.0M (+16% YoY), efficiency ratio 65.3%, 20% dividend increase to $0.06/quarter, $30M repurchase authorization, total assets $2.84B — SEC 8-K filings, BusinessWire, Barchart, 2026</w:t>
      </w:r>
    </w:p>
    <w:p>
      <w:pPr>
        <w:spacing w:before="20" w:after="20"/>
        <w:ind w:left="170"/>
      </w:pPr>
      <w:r>
        <w:rPr>
          <w:rFonts w:ascii="Calibri" w:hAnsi="Calibri"/>
          <w:b/>
          <w:color w:val="4A6B25"/>
          <w:sz w:val="15"/>
        </w:rPr>
        <w:t xml:space="preserve">2. </w:t>
      </w:r>
      <w:r>
        <w:rPr>
          <w:rFonts w:ascii="Calibri" w:hAnsi="Calibri"/>
          <w:b w:val="0"/>
          <w:color w:val="3A4A28"/>
          <w:sz w:val="17"/>
        </w:rPr>
        <w:t>Avidia Bank Corporate Profile — 'Fueled by Community. Strengthened by Innovation.', CEO Robert Cozzone (from Rockland Trust), niche business lines (HSA, dental, condo, municipal, law firm banking), NVIDIA board member, payment processing — avidiabank.com, SEC S-1/A, 2025-2026</w:t>
      </w:r>
    </w:p>
    <w:p>
      <w:pPr>
        <w:spacing w:before="20" w:after="20"/>
        <w:ind w:left="170"/>
      </w:pPr>
      <w:r>
        <w:rPr>
          <w:rFonts w:ascii="Calibri" w:hAnsi="Calibri"/>
          <w:b/>
          <w:color w:val="4A6B25"/>
          <w:sz w:val="15"/>
        </w:rPr>
        <w:t xml:space="preserve">3. </w:t>
      </w:r>
      <w:r>
        <w:rPr>
          <w:rFonts w:ascii="Calibri" w:hAnsi="Calibri"/>
          <w:b w:val="0"/>
          <w:color w:val="3A4A28"/>
          <w:sz w:val="17"/>
        </w:rPr>
        <w:t>Avidia Bank Charitable Foundation — $1.0M cash + 900,000 shares contributed at IPO ($11.5M total), 'Be a Champion for a Child' initiative, Boys and Girls Clubs of MetroWest, founded 1869, mutual-to-stock conversion July 2025 — SEC filings, 10-K FY2025</w:t>
      </w:r>
    </w:p>
    <w:p>
      <w:pPr>
        <w:spacing w:before="20" w:after="20"/>
        <w:ind w:left="170"/>
      </w:pPr>
      <w:r>
        <w:rPr>
          <w:rFonts w:ascii="Calibri" w:hAnsi="Calibri"/>
          <w:b/>
          <w:color w:val="4A6B25"/>
          <w:sz w:val="15"/>
        </w:rPr>
        <w:t xml:space="preserve">4. </w:t>
      </w:r>
      <w:r>
        <w:rPr>
          <w:rFonts w:ascii="Calibri" w:hAnsi="Calibri"/>
          <w:b w:val="0"/>
          <w:color w:val="3A4A28"/>
          <w:sz w:val="17"/>
        </w:rPr>
        <w:t>SEC Form 4 / Insider Transaction Data — CEO Cozzone ~$90K purchases, CFO Nelson $20K, Director Gilles $97.5K, Officer Jensen ~$60K, all purchases no sales, April-June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